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24F9" w:rsidRPr="00DC42F9" w:rsidRDefault="00C024F9" w:rsidP="00F07647">
      <w:pPr>
        <w:pStyle w:val="Naslov"/>
      </w:pPr>
      <w:r w:rsidRPr="00DC42F9">
        <w:t>___________________________________</w:t>
      </w:r>
      <w:r w:rsidR="005D202D">
        <w:t>__________________________</w:t>
      </w:r>
    </w:p>
    <w:p w:rsidR="00C024F9" w:rsidRPr="00DC42F9" w:rsidRDefault="00664BAD">
      <w:pPr>
        <w:pStyle w:val="Navaden1"/>
        <w:widowControl/>
        <w:rPr>
          <w:rFonts w:ascii="Trebuchet MS" w:hAnsi="Trebuchet MS"/>
          <w:b/>
          <w:color w:val="538135"/>
          <w:sz w:val="64"/>
        </w:rPr>
      </w:pPr>
      <w:r w:rsidRPr="00DC42F9">
        <w:rPr>
          <w:noProof/>
          <w:color w:val="538135"/>
        </w:rPr>
        <w:drawing>
          <wp:anchor distT="0" distB="0" distL="114300" distR="114300" simplePos="0" relativeHeight="251655680" behindDoc="0" locked="0" layoutInCell="1" allowOverlap="1">
            <wp:simplePos x="0" y="0"/>
            <wp:positionH relativeFrom="column">
              <wp:posOffset>5041900</wp:posOffset>
            </wp:positionH>
            <wp:positionV relativeFrom="paragraph">
              <wp:posOffset>99060</wp:posOffset>
            </wp:positionV>
            <wp:extent cx="1114425" cy="1028700"/>
            <wp:effectExtent l="0" t="0" r="9525" b="0"/>
            <wp:wrapNone/>
            <wp:docPr id="2" name="Slika 2" descr="Storzek_2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orzek_20dpi"/>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14425" cy="1028700"/>
                    </a:xfrm>
                    <a:prstGeom prst="rect">
                      <a:avLst/>
                    </a:prstGeom>
                    <a:noFill/>
                    <a:ln>
                      <a:noFill/>
                    </a:ln>
                  </pic:spPr>
                </pic:pic>
              </a:graphicData>
            </a:graphic>
            <wp14:sizeRelH relativeFrom="page">
              <wp14:pctWidth>0</wp14:pctWidth>
            </wp14:sizeRelH>
            <wp14:sizeRelV relativeFrom="page">
              <wp14:pctHeight>0</wp14:pctHeight>
            </wp14:sizeRelV>
          </wp:anchor>
        </w:drawing>
      </w:r>
      <w:r w:rsidR="00C024F9" w:rsidRPr="00DC42F9">
        <w:rPr>
          <w:rFonts w:ascii="Trebuchet MS" w:hAnsi="Trebuchet MS"/>
          <w:b/>
          <w:color w:val="538135"/>
          <w:sz w:val="64"/>
        </w:rPr>
        <w:t>hmeljarske informacije</w:t>
      </w:r>
      <w:r w:rsidR="00DD00D3" w:rsidRPr="00DC42F9">
        <w:rPr>
          <w:rStyle w:val="Navaden"/>
          <w:rFonts w:ascii="Times New Roman" w:hAnsi="Times New Roman"/>
          <w:snapToGrid w:val="0"/>
          <w:color w:val="538135"/>
          <w:w w:val="0"/>
          <w:sz w:val="0"/>
          <w:szCs w:val="0"/>
          <w:u w:color="000000"/>
          <w:bdr w:val="none" w:sz="0" w:space="0" w:color="000000"/>
          <w:shd w:val="clear" w:color="000000" w:fill="000000"/>
          <w:lang w:val="x-none" w:eastAsia="x-none" w:bidi="x-none"/>
        </w:rPr>
        <w:t xml:space="preserve"> </w:t>
      </w:r>
    </w:p>
    <w:p w:rsidR="0065606A" w:rsidRPr="00DC42F9" w:rsidRDefault="00C024F9" w:rsidP="00F4344F">
      <w:pPr>
        <w:pStyle w:val="Navaden1"/>
        <w:widowControl/>
        <w:rPr>
          <w:rFonts w:ascii="Trebuchet MS" w:hAnsi="Trebuchet MS"/>
          <w:color w:val="538135"/>
          <w:sz w:val="18"/>
          <w:szCs w:val="18"/>
        </w:rPr>
      </w:pPr>
      <w:r w:rsidRPr="00DC42F9">
        <w:rPr>
          <w:rFonts w:ascii="Trebuchet MS" w:hAnsi="Trebuchet MS"/>
          <w:color w:val="538135"/>
          <w:sz w:val="18"/>
          <w:szCs w:val="18"/>
        </w:rPr>
        <w:t>Izdaja Inštitut z</w:t>
      </w:r>
      <w:r w:rsidR="00F4344F" w:rsidRPr="00DC42F9">
        <w:rPr>
          <w:rFonts w:ascii="Trebuchet MS" w:hAnsi="Trebuchet MS"/>
          <w:color w:val="538135"/>
          <w:sz w:val="18"/>
          <w:szCs w:val="18"/>
        </w:rPr>
        <w:t xml:space="preserve">a hmeljarstvo in pivovarstvo </w:t>
      </w:r>
      <w:r w:rsidRPr="00DC42F9">
        <w:rPr>
          <w:rFonts w:ascii="Trebuchet MS" w:hAnsi="Trebuchet MS"/>
          <w:color w:val="538135"/>
          <w:sz w:val="18"/>
          <w:szCs w:val="18"/>
        </w:rPr>
        <w:t xml:space="preserve">Slovenije, Cesta žalskega tabora 2, 3310 Žalec </w:t>
      </w:r>
    </w:p>
    <w:p w:rsidR="003E04BD" w:rsidRPr="00DC42F9" w:rsidRDefault="0065606A" w:rsidP="0065606A">
      <w:pPr>
        <w:pStyle w:val="Navaden1"/>
        <w:widowControl/>
        <w:rPr>
          <w:rFonts w:ascii="Trebuchet MS" w:hAnsi="Trebuchet MS"/>
          <w:color w:val="538135"/>
          <w:sz w:val="18"/>
          <w:szCs w:val="18"/>
        </w:rPr>
      </w:pPr>
      <w:r w:rsidRPr="00DC42F9">
        <w:rPr>
          <w:rFonts w:ascii="Trebuchet MS" w:hAnsi="Trebuchet MS"/>
          <w:color w:val="538135"/>
          <w:sz w:val="18"/>
          <w:szCs w:val="18"/>
        </w:rPr>
        <w:t>Urednik: Gregor Leskošek</w:t>
      </w:r>
      <w:r w:rsidR="003E04BD" w:rsidRPr="00DC42F9">
        <w:rPr>
          <w:rFonts w:ascii="Trebuchet MS" w:hAnsi="Trebuchet MS"/>
          <w:color w:val="538135"/>
          <w:sz w:val="18"/>
          <w:szCs w:val="18"/>
        </w:rPr>
        <w:t>,</w:t>
      </w:r>
      <w:r w:rsidRPr="00DC42F9">
        <w:rPr>
          <w:rFonts w:ascii="Trebuchet MS" w:hAnsi="Trebuchet MS"/>
          <w:color w:val="538135"/>
          <w:sz w:val="18"/>
          <w:szCs w:val="18"/>
        </w:rPr>
        <w:tab/>
      </w:r>
      <w:r w:rsidR="003E04BD" w:rsidRPr="00DC42F9">
        <w:rPr>
          <w:rFonts w:ascii="Trebuchet MS" w:hAnsi="Trebuchet MS"/>
          <w:color w:val="538135"/>
          <w:sz w:val="18"/>
          <w:szCs w:val="18"/>
        </w:rPr>
        <w:t>e-pošta uredništva: gregor.leskosek@ihps.si</w:t>
      </w:r>
    </w:p>
    <w:p w:rsidR="0065606A" w:rsidRPr="00DC42F9" w:rsidRDefault="0065606A" w:rsidP="0065606A">
      <w:pPr>
        <w:pStyle w:val="Navaden1"/>
        <w:widowControl/>
        <w:rPr>
          <w:rFonts w:ascii="Trebuchet MS" w:hAnsi="Trebuchet MS"/>
          <w:color w:val="538135"/>
          <w:sz w:val="18"/>
          <w:szCs w:val="18"/>
        </w:rPr>
      </w:pPr>
      <w:r w:rsidRPr="00DC42F9">
        <w:rPr>
          <w:rFonts w:ascii="Trebuchet MS" w:hAnsi="Trebuchet MS"/>
          <w:color w:val="538135"/>
          <w:sz w:val="18"/>
          <w:szCs w:val="18"/>
        </w:rPr>
        <w:t xml:space="preserve">Uredniški odbor: </w:t>
      </w:r>
      <w:r w:rsidR="00866299" w:rsidRPr="00DC42F9">
        <w:rPr>
          <w:rFonts w:ascii="Trebuchet MS" w:hAnsi="Trebuchet MS"/>
          <w:color w:val="538135"/>
          <w:sz w:val="18"/>
          <w:szCs w:val="18"/>
        </w:rPr>
        <w:t xml:space="preserve">Gregor Leskošek, dr. Magda Rak Cizej, </w:t>
      </w:r>
      <w:r w:rsidRPr="00DC42F9">
        <w:rPr>
          <w:rFonts w:ascii="Trebuchet MS" w:hAnsi="Trebuchet MS"/>
          <w:color w:val="538135"/>
          <w:sz w:val="18"/>
          <w:szCs w:val="18"/>
        </w:rPr>
        <w:t xml:space="preserve">dr. Barbara Čeh, dr. Sebastjan Radišek </w:t>
      </w:r>
    </w:p>
    <w:p w:rsidR="00CA0786" w:rsidRPr="00DC42F9" w:rsidRDefault="00CA0786" w:rsidP="00F4344F">
      <w:pPr>
        <w:pStyle w:val="Navaden1"/>
        <w:widowControl/>
        <w:rPr>
          <w:rFonts w:ascii="Trebuchet MS" w:hAnsi="Trebuchet MS"/>
          <w:b/>
          <w:color w:val="538135"/>
          <w:sz w:val="18"/>
          <w:szCs w:val="18"/>
        </w:rPr>
      </w:pPr>
      <w:r w:rsidRPr="00DC42F9">
        <w:rPr>
          <w:rFonts w:ascii="Trebuchet MS" w:hAnsi="Trebuchet MS"/>
          <w:color w:val="538135"/>
          <w:sz w:val="18"/>
          <w:szCs w:val="18"/>
        </w:rPr>
        <w:t>Naklada: 300 izvodov</w:t>
      </w:r>
      <w:r w:rsidR="008C4CB2" w:rsidRPr="00DC42F9">
        <w:rPr>
          <w:rFonts w:ascii="Trebuchet MS" w:hAnsi="Trebuchet MS"/>
          <w:color w:val="538135"/>
          <w:sz w:val="18"/>
          <w:szCs w:val="18"/>
        </w:rPr>
        <w:t xml:space="preserve"> </w:t>
      </w:r>
      <w:r w:rsidRPr="00DC42F9">
        <w:rPr>
          <w:rFonts w:ascii="Trebuchet MS" w:hAnsi="Trebuchet MS"/>
          <w:color w:val="538135"/>
          <w:sz w:val="18"/>
          <w:szCs w:val="18"/>
        </w:rPr>
        <w:t xml:space="preserve"> </w:t>
      </w:r>
      <w:r w:rsidR="00F4344F" w:rsidRPr="00DC42F9">
        <w:rPr>
          <w:rFonts w:ascii="Trebuchet MS" w:hAnsi="Trebuchet MS"/>
          <w:b/>
          <w:color w:val="538135"/>
          <w:sz w:val="18"/>
          <w:szCs w:val="18"/>
        </w:rPr>
        <w:t xml:space="preserve"> </w:t>
      </w:r>
    </w:p>
    <w:p w:rsidR="008E7D0B" w:rsidRPr="00DC42F9" w:rsidRDefault="008E7D0B" w:rsidP="00F4344F">
      <w:pPr>
        <w:pStyle w:val="Navaden1"/>
        <w:widowControl/>
        <w:rPr>
          <w:rFonts w:ascii="Trebuchet MS" w:hAnsi="Trebuchet MS"/>
          <w:b/>
          <w:color w:val="538135"/>
          <w:sz w:val="18"/>
          <w:szCs w:val="18"/>
        </w:rPr>
      </w:pPr>
    </w:p>
    <w:p w:rsidR="007872A7" w:rsidRPr="005D202D" w:rsidRDefault="009A11CD" w:rsidP="005D202D">
      <w:pPr>
        <w:pStyle w:val="Navaden1"/>
        <w:widowControl/>
        <w:pBdr>
          <w:bottom w:val="single" w:sz="6" w:space="1" w:color="auto"/>
        </w:pBdr>
        <w:tabs>
          <w:tab w:val="left" w:pos="1618"/>
          <w:tab w:val="left" w:pos="4091"/>
          <w:tab w:val="left" w:pos="6131"/>
          <w:tab w:val="left" w:pos="6817"/>
          <w:tab w:val="left" w:pos="9291"/>
        </w:tabs>
        <w:rPr>
          <w:rFonts w:ascii="Trebuchet MS" w:hAnsi="Trebuchet MS"/>
          <w:color w:val="538135"/>
          <w:sz w:val="24"/>
        </w:rPr>
      </w:pPr>
      <w:r w:rsidRPr="00DC42F9">
        <w:rPr>
          <w:rFonts w:ascii="Trebuchet MS" w:hAnsi="Trebuchet MS"/>
          <w:color w:val="538135"/>
          <w:sz w:val="24"/>
        </w:rPr>
        <w:t>ISSN 1408</w:t>
      </w:r>
      <w:r w:rsidR="009061C4" w:rsidRPr="00DC42F9">
        <w:rPr>
          <w:rFonts w:ascii="Trebuchet MS" w:hAnsi="Trebuchet MS"/>
          <w:color w:val="538135"/>
          <w:sz w:val="24"/>
        </w:rPr>
        <w:t xml:space="preserve"> – </w:t>
      </w:r>
      <w:r w:rsidRPr="00DC42F9">
        <w:rPr>
          <w:rFonts w:ascii="Trebuchet MS" w:hAnsi="Trebuchet MS"/>
          <w:color w:val="538135"/>
          <w:sz w:val="24"/>
        </w:rPr>
        <w:t>477</w:t>
      </w:r>
      <w:r w:rsidR="00C024F9" w:rsidRPr="00DC42F9">
        <w:rPr>
          <w:rFonts w:ascii="Trebuchet MS" w:hAnsi="Trebuchet MS"/>
          <w:color w:val="538135"/>
          <w:sz w:val="24"/>
        </w:rPr>
        <w:t>5</w:t>
      </w:r>
      <w:r w:rsidR="009061C4" w:rsidRPr="00DC42F9">
        <w:rPr>
          <w:rFonts w:ascii="Trebuchet MS" w:hAnsi="Trebuchet MS"/>
          <w:color w:val="538135"/>
          <w:sz w:val="24"/>
        </w:rPr>
        <w:t xml:space="preserve">  </w:t>
      </w:r>
      <w:r w:rsidR="00C024F9" w:rsidRPr="00DC42F9">
        <w:rPr>
          <w:rFonts w:ascii="Trebuchet MS" w:hAnsi="Trebuchet MS"/>
          <w:color w:val="538135"/>
          <w:sz w:val="24"/>
        </w:rPr>
        <w:t xml:space="preserve"> </w:t>
      </w:r>
      <w:r w:rsidR="00F4344F" w:rsidRPr="00DC42F9">
        <w:rPr>
          <w:rFonts w:ascii="Trebuchet MS" w:hAnsi="Trebuchet MS"/>
          <w:color w:val="538135"/>
          <w:sz w:val="24"/>
        </w:rPr>
        <w:t xml:space="preserve">                       Letnik</w:t>
      </w:r>
      <w:r w:rsidR="009061C4" w:rsidRPr="00DC42F9">
        <w:rPr>
          <w:rFonts w:ascii="Trebuchet MS" w:hAnsi="Trebuchet MS"/>
          <w:color w:val="538135"/>
          <w:sz w:val="24"/>
        </w:rPr>
        <w:t xml:space="preserve"> </w:t>
      </w:r>
      <w:r w:rsidR="00EC56BA" w:rsidRPr="00DC42F9">
        <w:rPr>
          <w:rFonts w:ascii="Trebuchet MS" w:hAnsi="Trebuchet MS"/>
          <w:color w:val="538135"/>
          <w:sz w:val="24"/>
        </w:rPr>
        <w:t>3</w:t>
      </w:r>
      <w:r w:rsidR="003B09DB">
        <w:rPr>
          <w:rFonts w:ascii="Trebuchet MS" w:hAnsi="Trebuchet MS"/>
          <w:color w:val="538135"/>
          <w:sz w:val="24"/>
        </w:rPr>
        <w:t>8</w:t>
      </w:r>
      <w:r w:rsidR="00C024F9" w:rsidRPr="00DC42F9">
        <w:rPr>
          <w:rFonts w:ascii="Trebuchet MS" w:hAnsi="Trebuchet MS"/>
          <w:color w:val="538135"/>
          <w:sz w:val="24"/>
        </w:rPr>
        <w:t xml:space="preserve">, št. </w:t>
      </w:r>
      <w:r w:rsidR="00032F23">
        <w:rPr>
          <w:rFonts w:ascii="Trebuchet MS" w:hAnsi="Trebuchet MS"/>
          <w:color w:val="538135"/>
          <w:sz w:val="24"/>
        </w:rPr>
        <w:t>7</w:t>
      </w:r>
      <w:r w:rsidR="00F4344F" w:rsidRPr="00DC42F9">
        <w:rPr>
          <w:rFonts w:ascii="Trebuchet MS" w:hAnsi="Trebuchet MS"/>
          <w:color w:val="538135"/>
          <w:sz w:val="24"/>
        </w:rPr>
        <w:t xml:space="preserve">        </w:t>
      </w:r>
      <w:r w:rsidR="00F4344F" w:rsidRPr="00DC42F9">
        <w:rPr>
          <w:rFonts w:ascii="Trebuchet MS" w:hAnsi="Trebuchet MS"/>
          <w:color w:val="538135"/>
          <w:sz w:val="24"/>
        </w:rPr>
        <w:tab/>
        <w:t xml:space="preserve">            </w:t>
      </w:r>
      <w:r w:rsidR="00032F23">
        <w:rPr>
          <w:rFonts w:ascii="Trebuchet MS" w:hAnsi="Trebuchet MS"/>
          <w:color w:val="538135"/>
          <w:sz w:val="24"/>
        </w:rPr>
        <w:t>22</w:t>
      </w:r>
      <w:r w:rsidRPr="00DC42F9">
        <w:rPr>
          <w:rFonts w:ascii="Trebuchet MS" w:hAnsi="Trebuchet MS"/>
          <w:color w:val="538135"/>
          <w:sz w:val="24"/>
        </w:rPr>
        <w:t xml:space="preserve">. </w:t>
      </w:r>
      <w:r w:rsidR="002810D1">
        <w:rPr>
          <w:rFonts w:ascii="Trebuchet MS" w:hAnsi="Trebuchet MS"/>
          <w:color w:val="538135"/>
          <w:sz w:val="24"/>
        </w:rPr>
        <w:t>juni</w:t>
      </w:r>
      <w:r w:rsidR="00F00467">
        <w:rPr>
          <w:rFonts w:ascii="Trebuchet MS" w:hAnsi="Trebuchet MS"/>
          <w:color w:val="538135"/>
          <w:sz w:val="24"/>
        </w:rPr>
        <w:t>j</w:t>
      </w:r>
      <w:r w:rsidR="001A60DC" w:rsidRPr="00DC42F9">
        <w:rPr>
          <w:rFonts w:ascii="Trebuchet MS" w:hAnsi="Trebuchet MS"/>
          <w:color w:val="538135"/>
          <w:sz w:val="24"/>
        </w:rPr>
        <w:t xml:space="preserve"> 20</w:t>
      </w:r>
      <w:r w:rsidR="00863ECC">
        <w:rPr>
          <w:rFonts w:ascii="Trebuchet MS" w:hAnsi="Trebuchet MS"/>
          <w:color w:val="538135"/>
          <w:sz w:val="24"/>
        </w:rPr>
        <w:t>2</w:t>
      </w:r>
      <w:r w:rsidR="003B09DB">
        <w:rPr>
          <w:rFonts w:ascii="Trebuchet MS" w:hAnsi="Trebuchet MS"/>
          <w:color w:val="538135"/>
          <w:sz w:val="24"/>
        </w:rPr>
        <w:t>1</w:t>
      </w:r>
    </w:p>
    <w:p w:rsidR="002A646B" w:rsidRPr="00A864EA" w:rsidRDefault="002A646B" w:rsidP="00E34EB5">
      <w:pPr>
        <w:rPr>
          <w:rFonts w:ascii="Calibri" w:hAnsi="Calibri"/>
          <w:sz w:val="24"/>
          <w:szCs w:val="24"/>
        </w:rPr>
      </w:pPr>
    </w:p>
    <w:p w:rsidR="00F7423F" w:rsidRPr="00916C52" w:rsidRDefault="00D05435" w:rsidP="002A3495">
      <w:pPr>
        <w:shd w:val="clear" w:color="auto" w:fill="CCCCCC"/>
        <w:rPr>
          <w:rFonts w:ascii="Calibri" w:hAnsi="Calibri" w:cs="Arial"/>
          <w:sz w:val="24"/>
          <w:szCs w:val="24"/>
        </w:rPr>
      </w:pPr>
      <w:bookmarkStart w:id="0" w:name="_GoBack"/>
      <w:r>
        <w:rPr>
          <w:rFonts w:ascii="Calibri" w:hAnsi="Calibri" w:cs="Arial"/>
          <w:sz w:val="24"/>
          <w:szCs w:val="24"/>
        </w:rPr>
        <w:t xml:space="preserve">G. </w:t>
      </w:r>
      <w:r w:rsidR="00CE74EB">
        <w:rPr>
          <w:rFonts w:ascii="Calibri" w:hAnsi="Calibri" w:cs="Arial"/>
          <w:sz w:val="24"/>
          <w:szCs w:val="24"/>
        </w:rPr>
        <w:t xml:space="preserve">Leskošek, </w:t>
      </w:r>
      <w:r w:rsidR="001944DB" w:rsidRPr="00916C52">
        <w:rPr>
          <w:rFonts w:ascii="Calibri" w:hAnsi="Calibri" w:cs="Arial"/>
          <w:sz w:val="24"/>
          <w:szCs w:val="24"/>
        </w:rPr>
        <w:t>M. Rak Cizej</w:t>
      </w:r>
      <w:r w:rsidR="00CE74EB">
        <w:rPr>
          <w:rFonts w:ascii="Calibri" w:hAnsi="Calibri" w:cs="Arial"/>
          <w:sz w:val="24"/>
          <w:szCs w:val="24"/>
        </w:rPr>
        <w:t>, S. Radišek</w:t>
      </w:r>
      <w:r w:rsidR="00F7423F" w:rsidRPr="00916C52">
        <w:rPr>
          <w:rFonts w:ascii="Calibri" w:hAnsi="Calibri" w:cs="Arial"/>
          <w:sz w:val="24"/>
          <w:szCs w:val="24"/>
        </w:rPr>
        <w:t xml:space="preserve">: </w:t>
      </w:r>
      <w:r w:rsidR="00863ECC">
        <w:rPr>
          <w:rFonts w:ascii="Calibri" w:hAnsi="Calibri" w:cs="Arial"/>
          <w:b/>
          <w:sz w:val="24"/>
          <w:szCs w:val="24"/>
        </w:rPr>
        <w:t>VARSTVO HMELJA</w:t>
      </w:r>
      <w:r w:rsidR="001944DB" w:rsidRPr="00916C52">
        <w:rPr>
          <w:rFonts w:ascii="Calibri" w:hAnsi="Calibri" w:cs="Arial"/>
          <w:b/>
          <w:sz w:val="24"/>
          <w:szCs w:val="24"/>
        </w:rPr>
        <w:t xml:space="preserve"> </w:t>
      </w:r>
      <w:r w:rsidR="00863ECC">
        <w:rPr>
          <w:rFonts w:ascii="Calibri" w:hAnsi="Calibri" w:cs="Arial"/>
          <w:b/>
          <w:sz w:val="24"/>
          <w:szCs w:val="24"/>
        </w:rPr>
        <w:t xml:space="preserve"> </w:t>
      </w:r>
    </w:p>
    <w:bookmarkEnd w:id="0"/>
    <w:p w:rsidR="00F07647" w:rsidRDefault="00F07647" w:rsidP="00703480">
      <w:pPr>
        <w:rPr>
          <w:rFonts w:ascii="Calibri" w:hAnsi="Calibri" w:cs="Calibri"/>
          <w:b/>
          <w:i/>
          <w:sz w:val="22"/>
          <w:szCs w:val="22"/>
        </w:rPr>
      </w:pPr>
    </w:p>
    <w:p w:rsidR="00D05435" w:rsidRPr="000F1D2F" w:rsidRDefault="00D05435" w:rsidP="00703480">
      <w:pPr>
        <w:rPr>
          <w:rFonts w:ascii="Calibri" w:hAnsi="Calibri" w:cs="Calibri"/>
          <w:b/>
          <w:i/>
          <w:sz w:val="22"/>
          <w:szCs w:val="22"/>
        </w:rPr>
      </w:pPr>
      <w:r w:rsidRPr="000F1D2F">
        <w:rPr>
          <w:rFonts w:ascii="Calibri" w:hAnsi="Calibri" w:cs="Calibri"/>
          <w:b/>
          <w:i/>
          <w:sz w:val="22"/>
          <w:szCs w:val="22"/>
        </w:rPr>
        <w:t>Hmeljeva peronospora</w:t>
      </w:r>
      <w:r w:rsidR="004E2AAB" w:rsidRPr="000F1D2F">
        <w:rPr>
          <w:rFonts w:ascii="Calibri" w:hAnsi="Calibri" w:cs="Calibri"/>
          <w:b/>
          <w:i/>
          <w:sz w:val="22"/>
          <w:szCs w:val="22"/>
        </w:rPr>
        <w:t xml:space="preserve"> </w:t>
      </w:r>
    </w:p>
    <w:p w:rsidR="00FA0091" w:rsidRDefault="002B39FD" w:rsidP="00F806F1">
      <w:pPr>
        <w:pStyle w:val="Navadensplet"/>
        <w:spacing w:line="276" w:lineRule="auto"/>
        <w:jc w:val="both"/>
        <w:rPr>
          <w:rFonts w:ascii="Calibri" w:hAnsi="Calibri" w:cs="Arial"/>
          <w:sz w:val="22"/>
          <w:szCs w:val="22"/>
        </w:rPr>
      </w:pPr>
      <w:r w:rsidRPr="00A60B82">
        <w:rPr>
          <w:rFonts w:ascii="Calibri" w:hAnsi="Calibri" w:cs="Arial"/>
          <w:sz w:val="22"/>
          <w:szCs w:val="22"/>
        </w:rPr>
        <w:t xml:space="preserve">Iz grafov ulova spor (slika </w:t>
      </w:r>
      <w:r w:rsidR="00674C5D">
        <w:rPr>
          <w:rFonts w:ascii="Calibri" w:hAnsi="Calibri" w:cs="Arial"/>
          <w:sz w:val="22"/>
          <w:szCs w:val="22"/>
        </w:rPr>
        <w:t>1</w:t>
      </w:r>
      <w:r w:rsidRPr="00A60B82">
        <w:rPr>
          <w:rFonts w:ascii="Calibri" w:hAnsi="Calibri" w:cs="Arial"/>
          <w:sz w:val="22"/>
          <w:szCs w:val="22"/>
        </w:rPr>
        <w:t>) je razvidno, da so le</w:t>
      </w:r>
      <w:r>
        <w:rPr>
          <w:rFonts w:ascii="Calibri" w:hAnsi="Calibri" w:cs="Arial"/>
          <w:sz w:val="22"/>
          <w:szCs w:val="22"/>
        </w:rPr>
        <w:t xml:space="preserve">-te </w:t>
      </w:r>
      <w:r w:rsidR="00D97EF9">
        <w:rPr>
          <w:rFonts w:ascii="Calibri" w:hAnsi="Calibri" w:cs="Arial"/>
          <w:sz w:val="22"/>
          <w:szCs w:val="22"/>
        </w:rPr>
        <w:t xml:space="preserve">v zadnjem obdobju upadle vendar so </w:t>
      </w:r>
      <w:r>
        <w:rPr>
          <w:rFonts w:ascii="Calibri" w:hAnsi="Calibri" w:cs="Arial"/>
          <w:sz w:val="22"/>
          <w:szCs w:val="22"/>
        </w:rPr>
        <w:t xml:space="preserve">prisotne na vseh </w:t>
      </w:r>
      <w:r w:rsidR="00EF6B4F">
        <w:rPr>
          <w:rFonts w:ascii="Calibri" w:hAnsi="Calibri" w:cs="Arial"/>
          <w:sz w:val="22"/>
          <w:szCs w:val="22"/>
        </w:rPr>
        <w:t xml:space="preserve">lokacijah, </w:t>
      </w:r>
      <w:r w:rsidR="00EF6B4F" w:rsidRPr="00A60B82">
        <w:rPr>
          <w:rFonts w:ascii="Calibri" w:hAnsi="Calibri" w:cs="Arial"/>
          <w:sz w:val="22"/>
          <w:szCs w:val="22"/>
        </w:rPr>
        <w:t>kritično mejo (40 ulovljenih spor v štirih zaporednih dneh)</w:t>
      </w:r>
      <w:r w:rsidR="00EF6B4F">
        <w:rPr>
          <w:rFonts w:ascii="Calibri" w:hAnsi="Calibri" w:cs="Arial"/>
          <w:sz w:val="22"/>
          <w:szCs w:val="22"/>
        </w:rPr>
        <w:t xml:space="preserve"> </w:t>
      </w:r>
      <w:r w:rsidR="00D97EF9">
        <w:rPr>
          <w:rFonts w:ascii="Calibri" w:hAnsi="Calibri" w:cs="Arial"/>
          <w:sz w:val="22"/>
          <w:szCs w:val="22"/>
        </w:rPr>
        <w:t>ne</w:t>
      </w:r>
      <w:r w:rsidR="00EF6B4F">
        <w:rPr>
          <w:rFonts w:ascii="Calibri" w:hAnsi="Calibri" w:cs="Arial"/>
          <w:sz w:val="22"/>
          <w:szCs w:val="22"/>
        </w:rPr>
        <w:t xml:space="preserve"> </w:t>
      </w:r>
      <w:r w:rsidR="00EF6B4F" w:rsidRPr="00A60B82">
        <w:rPr>
          <w:rFonts w:ascii="Calibri" w:hAnsi="Calibri" w:cs="Arial"/>
          <w:sz w:val="22"/>
          <w:szCs w:val="22"/>
        </w:rPr>
        <w:t>presegajo</w:t>
      </w:r>
      <w:r w:rsidR="00EF6B4F">
        <w:rPr>
          <w:rFonts w:ascii="Calibri" w:hAnsi="Calibri" w:cs="Arial"/>
          <w:sz w:val="22"/>
          <w:szCs w:val="22"/>
        </w:rPr>
        <w:t xml:space="preserve"> </w:t>
      </w:r>
      <w:r w:rsidR="00D97EF9">
        <w:rPr>
          <w:rFonts w:ascii="Calibri" w:hAnsi="Calibri" w:cs="Arial"/>
          <w:sz w:val="22"/>
          <w:szCs w:val="22"/>
        </w:rPr>
        <w:t>na nobeni lokaciji</w:t>
      </w:r>
      <w:r w:rsidR="00EF6B4F">
        <w:rPr>
          <w:rFonts w:ascii="Calibri" w:hAnsi="Calibri" w:cs="Arial"/>
          <w:sz w:val="22"/>
          <w:szCs w:val="22"/>
        </w:rPr>
        <w:t>.</w:t>
      </w:r>
      <w:r>
        <w:rPr>
          <w:rFonts w:ascii="Calibri" w:hAnsi="Calibri" w:cs="Arial"/>
          <w:sz w:val="22"/>
          <w:szCs w:val="22"/>
        </w:rPr>
        <w:t xml:space="preserve"> </w:t>
      </w:r>
    </w:p>
    <w:tbl>
      <w:tblPr>
        <w:tblW w:w="10349"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104"/>
        <w:gridCol w:w="5245"/>
      </w:tblGrid>
      <w:tr w:rsidR="00EF3952" w:rsidRPr="00221097" w:rsidTr="00592D17">
        <w:trPr>
          <w:trHeight w:val="3348"/>
        </w:trPr>
        <w:tc>
          <w:tcPr>
            <w:tcW w:w="5104" w:type="dxa"/>
          </w:tcPr>
          <w:p w:rsidR="00EF3952" w:rsidRPr="00221097" w:rsidRDefault="00664BAD" w:rsidP="00592D17">
            <w:pPr>
              <w:jc w:val="both"/>
              <w:rPr>
                <w:rFonts w:ascii="Arial" w:hAnsi="Arial" w:cs="Arial"/>
                <w:sz w:val="22"/>
                <w:szCs w:val="22"/>
              </w:rPr>
            </w:pPr>
            <w:r>
              <w:rPr>
                <w:rFonts w:ascii="Arial" w:hAnsi="Arial" w:cs="Arial"/>
                <w:noProof/>
                <w:sz w:val="22"/>
                <w:szCs w:val="22"/>
              </w:rPr>
              <w:drawing>
                <wp:inline distT="0" distB="0" distL="0" distR="0">
                  <wp:extent cx="3162935" cy="2366010"/>
                  <wp:effectExtent l="0" t="0" r="0" b="0"/>
                  <wp:docPr id="12" name="Slik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2935" cy="2366010"/>
                          </a:xfrm>
                          <a:prstGeom prst="rect">
                            <a:avLst/>
                          </a:prstGeom>
                          <a:noFill/>
                        </pic:spPr>
                      </pic:pic>
                    </a:graphicData>
                  </a:graphic>
                </wp:inline>
              </w:drawing>
            </w:r>
          </w:p>
        </w:tc>
        <w:tc>
          <w:tcPr>
            <w:tcW w:w="5245" w:type="dxa"/>
          </w:tcPr>
          <w:p w:rsidR="00EF3952" w:rsidRPr="00221097" w:rsidRDefault="00664BAD" w:rsidP="00592D17">
            <w:pPr>
              <w:jc w:val="both"/>
              <w:rPr>
                <w:rFonts w:ascii="Arial" w:hAnsi="Arial" w:cs="Arial"/>
                <w:sz w:val="22"/>
                <w:szCs w:val="22"/>
              </w:rPr>
            </w:pPr>
            <w:r>
              <w:rPr>
                <w:rFonts w:ascii="Arial" w:hAnsi="Arial" w:cs="Arial"/>
                <w:noProof/>
                <w:sz w:val="22"/>
                <w:szCs w:val="22"/>
              </w:rPr>
              <w:drawing>
                <wp:inline distT="0" distB="0" distL="0" distR="0">
                  <wp:extent cx="3195955" cy="2326005"/>
                  <wp:effectExtent l="0" t="0" r="4445" b="0"/>
                  <wp:docPr id="13"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95955" cy="2326005"/>
                          </a:xfrm>
                          <a:prstGeom prst="rect">
                            <a:avLst/>
                          </a:prstGeom>
                          <a:noFill/>
                        </pic:spPr>
                      </pic:pic>
                    </a:graphicData>
                  </a:graphic>
                </wp:inline>
              </w:drawing>
            </w:r>
          </w:p>
        </w:tc>
      </w:tr>
      <w:tr w:rsidR="00EF3952" w:rsidRPr="00221097" w:rsidTr="00F806F1">
        <w:trPr>
          <w:trHeight w:val="4332"/>
        </w:trPr>
        <w:tc>
          <w:tcPr>
            <w:tcW w:w="5104" w:type="dxa"/>
          </w:tcPr>
          <w:p w:rsidR="00EF3952" w:rsidRPr="00221097" w:rsidRDefault="00664BAD" w:rsidP="00592D17">
            <w:pPr>
              <w:jc w:val="both"/>
              <w:rPr>
                <w:rFonts w:ascii="Arial" w:hAnsi="Arial" w:cs="Arial"/>
                <w:sz w:val="22"/>
                <w:szCs w:val="22"/>
              </w:rPr>
            </w:pPr>
            <w:r>
              <w:rPr>
                <w:rFonts w:ascii="Arial" w:hAnsi="Arial" w:cs="Arial"/>
                <w:noProof/>
                <w:sz w:val="22"/>
                <w:szCs w:val="22"/>
              </w:rPr>
              <w:drawing>
                <wp:inline distT="0" distB="0" distL="0" distR="0">
                  <wp:extent cx="3160395" cy="2642870"/>
                  <wp:effectExtent l="0" t="0" r="1905" b="5080"/>
                  <wp:docPr id="14" name="Slika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60395" cy="2642870"/>
                          </a:xfrm>
                          <a:prstGeom prst="rect">
                            <a:avLst/>
                          </a:prstGeom>
                          <a:noFill/>
                        </pic:spPr>
                      </pic:pic>
                    </a:graphicData>
                  </a:graphic>
                </wp:inline>
              </w:drawing>
            </w:r>
          </w:p>
        </w:tc>
        <w:tc>
          <w:tcPr>
            <w:tcW w:w="5245" w:type="dxa"/>
          </w:tcPr>
          <w:p w:rsidR="00EF3952" w:rsidRPr="00221097" w:rsidRDefault="00664BAD" w:rsidP="00592D17">
            <w:pPr>
              <w:jc w:val="both"/>
              <w:rPr>
                <w:rFonts w:ascii="Arial" w:hAnsi="Arial" w:cs="Arial"/>
                <w:sz w:val="22"/>
                <w:szCs w:val="22"/>
              </w:rPr>
            </w:pPr>
            <w:r>
              <w:rPr>
                <w:rFonts w:ascii="Arial" w:hAnsi="Arial" w:cs="Arial"/>
                <w:noProof/>
                <w:sz w:val="22"/>
                <w:szCs w:val="22"/>
              </w:rPr>
              <w:drawing>
                <wp:inline distT="0" distB="0" distL="0" distR="0">
                  <wp:extent cx="3300730" cy="2717165"/>
                  <wp:effectExtent l="0" t="0" r="0" b="6985"/>
                  <wp:docPr id="15" name="Slik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00730" cy="2717165"/>
                          </a:xfrm>
                          <a:prstGeom prst="rect">
                            <a:avLst/>
                          </a:prstGeom>
                          <a:noFill/>
                        </pic:spPr>
                      </pic:pic>
                    </a:graphicData>
                  </a:graphic>
                </wp:inline>
              </w:drawing>
            </w:r>
          </w:p>
        </w:tc>
      </w:tr>
    </w:tbl>
    <w:p w:rsidR="00EF3952" w:rsidRDefault="00664BAD" w:rsidP="00EF3952">
      <w:pPr>
        <w:spacing w:line="276" w:lineRule="auto"/>
        <w:jc w:val="center"/>
        <w:rPr>
          <w:rFonts w:ascii="Calibri" w:hAnsi="Calibri" w:cs="Arial"/>
          <w:sz w:val="24"/>
          <w:szCs w:val="24"/>
        </w:rPr>
      </w:pPr>
      <w:r w:rsidRPr="001A2442">
        <w:rPr>
          <w:noProof/>
        </w:rPr>
        <w:lastRenderedPageBreak/>
        <w:drawing>
          <wp:inline distT="0" distB="0" distL="0" distR="0">
            <wp:extent cx="3253740" cy="2369820"/>
            <wp:effectExtent l="19050" t="19050" r="22860" b="11430"/>
            <wp:docPr id="6" name="Grafiko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on 1"/>
                    <pic:cNvPicPr>
                      <a:picLocks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53740" cy="2369820"/>
                    </a:xfrm>
                    <a:prstGeom prst="rect">
                      <a:avLst/>
                    </a:prstGeom>
                    <a:noFill/>
                    <a:ln w="6350" cmpd="sng">
                      <a:solidFill>
                        <a:srgbClr val="000000"/>
                      </a:solidFill>
                      <a:miter lim="800000"/>
                      <a:headEnd/>
                      <a:tailEnd/>
                    </a:ln>
                    <a:effectLst/>
                  </pic:spPr>
                </pic:pic>
              </a:graphicData>
            </a:graphic>
          </wp:inline>
        </w:drawing>
      </w:r>
    </w:p>
    <w:p w:rsidR="00EF3952" w:rsidRPr="007C4620" w:rsidRDefault="00EF3952" w:rsidP="00EF3952">
      <w:pPr>
        <w:spacing w:line="276" w:lineRule="auto"/>
        <w:rPr>
          <w:rFonts w:ascii="Calibri" w:hAnsi="Calibri" w:cs="Arial"/>
        </w:rPr>
      </w:pPr>
      <w:r w:rsidRPr="007C4620">
        <w:rPr>
          <w:rFonts w:ascii="Calibri" w:hAnsi="Calibri" w:cs="Arial"/>
        </w:rPr>
        <w:t xml:space="preserve">Slika </w:t>
      </w:r>
      <w:r>
        <w:rPr>
          <w:rFonts w:ascii="Calibri" w:hAnsi="Calibri" w:cs="Arial"/>
        </w:rPr>
        <w:t>3</w:t>
      </w:r>
      <w:r w:rsidRPr="007C4620">
        <w:rPr>
          <w:rFonts w:ascii="Calibri" w:hAnsi="Calibri" w:cs="Arial"/>
        </w:rPr>
        <w:t>: Ulov spor v štirih zaporednih dneh na različnih lokacijah</w:t>
      </w:r>
    </w:p>
    <w:p w:rsidR="00EF3952" w:rsidRDefault="00EF3952" w:rsidP="00EF3952">
      <w:pPr>
        <w:jc w:val="both"/>
        <w:rPr>
          <w:rFonts w:ascii="Calibri" w:hAnsi="Calibri" w:cs="Arial"/>
          <w:sz w:val="24"/>
          <w:szCs w:val="24"/>
        </w:rPr>
      </w:pPr>
    </w:p>
    <w:p w:rsidR="00674C5D" w:rsidRDefault="00D97EF9" w:rsidP="00745530">
      <w:pPr>
        <w:jc w:val="both"/>
        <w:rPr>
          <w:rFonts w:ascii="Calibri" w:hAnsi="Calibri" w:cs="Calibri"/>
          <w:color w:val="000000"/>
          <w:sz w:val="22"/>
          <w:szCs w:val="22"/>
        </w:rPr>
      </w:pPr>
      <w:r w:rsidRPr="0015005B">
        <w:rPr>
          <w:rFonts w:ascii="Calibri" w:hAnsi="Calibri" w:cs="Arial"/>
          <w:sz w:val="22"/>
          <w:szCs w:val="22"/>
        </w:rPr>
        <w:t xml:space="preserve">Svetujemo vam, da pri  škropljenju proti ušem preventivno dodate enega od kontaktnih fungicidov. V tem času bi dali prednost pripravku Folpan </w:t>
      </w:r>
      <w:r w:rsidRPr="0015005B">
        <w:rPr>
          <w:rFonts w:ascii="Calibri" w:hAnsi="Calibri" w:cs="Calibri"/>
          <w:color w:val="000000"/>
          <w:sz w:val="22"/>
          <w:szCs w:val="22"/>
        </w:rPr>
        <w:t>80 WDG v odmerku 1,87 kg/ha ( do BBCH 37</w:t>
      </w:r>
      <w:r w:rsidR="00BA005D">
        <w:rPr>
          <w:rFonts w:ascii="Calibri" w:hAnsi="Calibri" w:cs="Calibri"/>
          <w:color w:val="000000"/>
          <w:sz w:val="22"/>
          <w:szCs w:val="22"/>
        </w:rPr>
        <w:t xml:space="preserve"> hmelj doseže višino 70 % žičnice</w:t>
      </w:r>
      <w:r w:rsidRPr="0015005B">
        <w:rPr>
          <w:rFonts w:ascii="Calibri" w:hAnsi="Calibri" w:cs="Calibri"/>
          <w:color w:val="000000"/>
          <w:sz w:val="22"/>
          <w:szCs w:val="22"/>
        </w:rPr>
        <w:t>) oz. 2,8 kg/ha (BBCH 37-55) odvisno od razvojne faze h</w:t>
      </w:r>
      <w:r>
        <w:rPr>
          <w:rFonts w:ascii="Calibri" w:hAnsi="Calibri" w:cs="Calibri"/>
          <w:color w:val="000000"/>
          <w:sz w:val="22"/>
          <w:szCs w:val="22"/>
        </w:rPr>
        <w:t xml:space="preserve">melja. Pri pregledih hmeljišč </w:t>
      </w:r>
      <w:r w:rsidRPr="0015005B">
        <w:rPr>
          <w:rFonts w:ascii="Calibri" w:hAnsi="Calibri" w:cs="Calibri"/>
          <w:color w:val="000000"/>
          <w:sz w:val="22"/>
          <w:szCs w:val="22"/>
        </w:rPr>
        <w:t xml:space="preserve"> še vedno opazimo nasade v katerih so prisotni kuštravci. V takšnih nasadih ter prav tako v nasadih občutljivih sort kjer na listih že opazite pege, svetujemo uporabo pripravka</w:t>
      </w:r>
      <w:r>
        <w:rPr>
          <w:rFonts w:ascii="Calibri" w:hAnsi="Calibri" w:cs="Calibri"/>
          <w:color w:val="000000"/>
          <w:sz w:val="22"/>
          <w:szCs w:val="22"/>
        </w:rPr>
        <w:t xml:space="preserve"> </w:t>
      </w:r>
      <w:r w:rsidRPr="0015005B">
        <w:rPr>
          <w:rFonts w:ascii="Calibri" w:hAnsi="Calibri" w:cs="Calibri"/>
          <w:color w:val="000000"/>
          <w:sz w:val="22"/>
          <w:szCs w:val="22"/>
        </w:rPr>
        <w:t xml:space="preserve"> Alliete Flash, ki ga v tem času uporabite v odmerku med </w:t>
      </w:r>
      <w:r w:rsidR="00745530">
        <w:rPr>
          <w:rFonts w:ascii="Calibri" w:hAnsi="Calibri" w:cs="Calibri"/>
          <w:color w:val="000000"/>
          <w:sz w:val="22"/>
          <w:szCs w:val="22"/>
        </w:rPr>
        <w:t>3</w:t>
      </w:r>
      <w:r w:rsidRPr="0015005B">
        <w:rPr>
          <w:rFonts w:ascii="Calibri" w:hAnsi="Calibri" w:cs="Calibri"/>
          <w:color w:val="000000"/>
          <w:sz w:val="22"/>
          <w:szCs w:val="22"/>
        </w:rPr>
        <w:t xml:space="preserve"> in 5 kg/ha, odvisno od razvojne faze in bujnosti nasada. Na voljo je tudi pripravek Revus v odmerku 1 l/ha, ki pa ga lahko uporabite samo 2 krat letno. Pri škropljenju hmeljišč morate upoštevati odmike od voda, ki zanašajo pri Folpanu 80 WDG  30 m (1 in 2 red), Revusu 15 m (1 in 2 red), pri pripravku Alliete Flash  15 m 1 red in 5 m vode 2 reda</w:t>
      </w:r>
      <w:r w:rsidR="00745530">
        <w:rPr>
          <w:rFonts w:ascii="Calibri" w:hAnsi="Calibri" w:cs="Calibri"/>
          <w:color w:val="000000"/>
          <w:sz w:val="22"/>
          <w:szCs w:val="22"/>
        </w:rPr>
        <w:t>.</w:t>
      </w:r>
    </w:p>
    <w:p w:rsidR="00745530" w:rsidRDefault="00745530" w:rsidP="00745530">
      <w:pPr>
        <w:jc w:val="both"/>
        <w:rPr>
          <w:rFonts w:ascii="Calibri" w:hAnsi="Calibri" w:cs="Calibri"/>
          <w:color w:val="000000"/>
          <w:sz w:val="22"/>
          <w:szCs w:val="22"/>
        </w:rPr>
      </w:pPr>
    </w:p>
    <w:p w:rsidR="00674C5D" w:rsidRPr="00E24185" w:rsidRDefault="00D357B8" w:rsidP="00674C5D">
      <w:pPr>
        <w:pStyle w:val="Default"/>
        <w:jc w:val="both"/>
        <w:rPr>
          <w:rFonts w:ascii="Calibri" w:hAnsi="Calibri" w:cs="Calibri"/>
          <w:i/>
          <w:sz w:val="22"/>
          <w:szCs w:val="22"/>
        </w:rPr>
      </w:pPr>
      <w:r w:rsidRPr="00E24185">
        <w:rPr>
          <w:rFonts w:ascii="Calibri" w:hAnsi="Calibri" w:cs="Calibri"/>
          <w:b/>
          <w:bCs/>
          <w:i/>
          <w:iCs/>
          <w:sz w:val="22"/>
          <w:szCs w:val="22"/>
        </w:rPr>
        <w:t xml:space="preserve">Hmeljeva listna uš </w:t>
      </w:r>
    </w:p>
    <w:p w:rsidR="00674C5D" w:rsidRPr="00E24185" w:rsidRDefault="00674C5D" w:rsidP="00674C5D">
      <w:pPr>
        <w:jc w:val="both"/>
        <w:rPr>
          <w:rFonts w:ascii="Calibri" w:hAnsi="Calibri" w:cs="Calibri"/>
          <w:sz w:val="22"/>
          <w:szCs w:val="22"/>
        </w:rPr>
      </w:pPr>
      <w:r w:rsidRPr="00E24185">
        <w:rPr>
          <w:rFonts w:ascii="Calibri" w:hAnsi="Calibri" w:cs="Calibri"/>
          <w:sz w:val="22"/>
          <w:szCs w:val="22"/>
        </w:rPr>
        <w:t>Obveščamo vas, da prelet krilatih uši na hmelj še ni končan, se pa počasi zaključuje. V tem tednu pričakujemo, da bo prelet hmeljeve listne uši iz zimskega gostitelja na hmelj tudi končan. Intenziteta preleta uši v primerjavi z lanskim  in predlanskim letom ni velika (graf 1). Kljub temu pa so uši v hmeljiščih prisotne, mestoma je prag že presežen, saj najdemo na zgornjih listih (1. do 3. indernodij od zgoraj navzdol) po več kot 200 uši/list.</w:t>
      </w:r>
    </w:p>
    <w:p w:rsidR="00674C5D" w:rsidRPr="00E24185" w:rsidRDefault="00674C5D" w:rsidP="00674C5D">
      <w:pPr>
        <w:jc w:val="both"/>
        <w:rPr>
          <w:rFonts w:ascii="Calibri" w:hAnsi="Calibri" w:cs="Calibri"/>
          <w:sz w:val="22"/>
          <w:szCs w:val="22"/>
        </w:rPr>
      </w:pPr>
    </w:p>
    <w:p w:rsidR="00674C5D" w:rsidRPr="00E24185" w:rsidRDefault="00664BAD" w:rsidP="00D357B8">
      <w:pPr>
        <w:jc w:val="center"/>
        <w:rPr>
          <w:rFonts w:ascii="Calibri" w:hAnsi="Calibri" w:cs="Calibri"/>
          <w:sz w:val="22"/>
          <w:szCs w:val="22"/>
        </w:rPr>
      </w:pPr>
      <w:r w:rsidRPr="00E24185">
        <w:rPr>
          <w:rFonts w:ascii="Calibri" w:hAnsi="Calibri" w:cs="Calibri"/>
          <w:noProof/>
          <w:sz w:val="22"/>
          <w:szCs w:val="22"/>
        </w:rPr>
        <w:drawing>
          <wp:inline distT="0" distB="0" distL="0" distR="0">
            <wp:extent cx="4121150" cy="2822575"/>
            <wp:effectExtent l="0" t="0" r="12700" b="15875"/>
            <wp:docPr id="7" name="Grafikon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D357B8" w:rsidRPr="00E24185" w:rsidRDefault="00D357B8" w:rsidP="00674C5D">
      <w:pPr>
        <w:jc w:val="both"/>
        <w:rPr>
          <w:rFonts w:ascii="Calibri" w:hAnsi="Calibri" w:cs="Calibri"/>
          <w:sz w:val="22"/>
          <w:szCs w:val="22"/>
          <w:highlight w:val="yellow"/>
        </w:rPr>
      </w:pPr>
    </w:p>
    <w:p w:rsidR="00674C5D" w:rsidRPr="00E24185" w:rsidRDefault="00674C5D" w:rsidP="00674C5D">
      <w:pPr>
        <w:jc w:val="both"/>
        <w:rPr>
          <w:rFonts w:ascii="Calibri" w:hAnsi="Calibri" w:cs="Calibri"/>
          <w:sz w:val="18"/>
          <w:szCs w:val="18"/>
        </w:rPr>
      </w:pPr>
      <w:r w:rsidRPr="00E24185">
        <w:rPr>
          <w:rFonts w:ascii="Calibri" w:hAnsi="Calibri" w:cs="Calibri"/>
          <w:sz w:val="18"/>
          <w:szCs w:val="18"/>
        </w:rPr>
        <w:t>Graf 1: Prelet krilatih uši na hmelj v letu 2021 (polna rdeča črta) v primerjavi z letom 2019 (modra prekinjene črta) in letom 2020 (zelena črta)</w:t>
      </w:r>
    </w:p>
    <w:p w:rsidR="00D357B8" w:rsidRPr="00E24185" w:rsidRDefault="00D357B8" w:rsidP="00674C5D">
      <w:pPr>
        <w:jc w:val="both"/>
        <w:rPr>
          <w:rFonts w:ascii="Calibri" w:hAnsi="Calibri" w:cs="Calibri"/>
          <w:sz w:val="22"/>
          <w:szCs w:val="22"/>
        </w:rPr>
      </w:pPr>
    </w:p>
    <w:p w:rsidR="00674C5D" w:rsidRPr="00E24185" w:rsidRDefault="00674C5D" w:rsidP="00674C5D">
      <w:pPr>
        <w:jc w:val="both"/>
        <w:rPr>
          <w:rFonts w:ascii="Calibri" w:hAnsi="Calibri" w:cs="Calibri"/>
          <w:b/>
          <w:sz w:val="22"/>
          <w:szCs w:val="22"/>
        </w:rPr>
      </w:pPr>
      <w:r w:rsidRPr="00E24185">
        <w:rPr>
          <w:rFonts w:ascii="Calibri" w:hAnsi="Calibri" w:cs="Calibri"/>
          <w:sz w:val="22"/>
          <w:szCs w:val="22"/>
        </w:rPr>
        <w:lastRenderedPageBreak/>
        <w:t xml:space="preserve">V večini primerov so rastline hmelja dosegle višino preko 4 metrov, tako da imajo dovolj listne mase, da lahko </w:t>
      </w:r>
      <w:r w:rsidRPr="00E24185">
        <w:rPr>
          <w:rFonts w:ascii="Calibri" w:hAnsi="Calibri" w:cs="Calibri"/>
          <w:b/>
          <w:sz w:val="22"/>
          <w:szCs w:val="22"/>
        </w:rPr>
        <w:t xml:space="preserve">za zatiranje hmeljeve listne uši uporabite enega od sistemičnih insekticidov </w:t>
      </w:r>
      <w:r w:rsidRPr="00E24185">
        <w:rPr>
          <w:rFonts w:ascii="Calibri" w:hAnsi="Calibri" w:cs="Calibri"/>
          <w:sz w:val="22"/>
          <w:szCs w:val="22"/>
        </w:rPr>
        <w:t xml:space="preserve">in sicer </w:t>
      </w:r>
      <w:r w:rsidRPr="00E24185">
        <w:rPr>
          <w:rFonts w:ascii="Calibri" w:hAnsi="Calibri" w:cs="Calibri"/>
          <w:b/>
          <w:sz w:val="22"/>
          <w:szCs w:val="22"/>
        </w:rPr>
        <w:t>Teppeki</w:t>
      </w:r>
      <w:r w:rsidRPr="00E24185">
        <w:rPr>
          <w:rFonts w:ascii="Calibri" w:hAnsi="Calibri" w:cs="Calibri"/>
          <w:sz w:val="22"/>
          <w:szCs w:val="22"/>
        </w:rPr>
        <w:t xml:space="preserve"> (a.s. flonikamid) v odmerku 0,18 kg/ha ali </w:t>
      </w:r>
      <w:r w:rsidRPr="00E24185">
        <w:rPr>
          <w:rFonts w:ascii="Calibri" w:hAnsi="Calibri" w:cs="Calibri"/>
          <w:b/>
          <w:sz w:val="22"/>
          <w:szCs w:val="22"/>
        </w:rPr>
        <w:t xml:space="preserve">Movento SC 100 </w:t>
      </w:r>
      <w:r w:rsidRPr="00E24185">
        <w:rPr>
          <w:rFonts w:ascii="Calibri" w:hAnsi="Calibri" w:cs="Calibri"/>
          <w:sz w:val="22"/>
          <w:szCs w:val="22"/>
        </w:rPr>
        <w:t>v odmerku 1,5 l/ha. Ker ima Movento delovanje tudi na hmeljevo pršico, ga je potrebno uporabiti v najvišjem dovoljenem odmerku.</w:t>
      </w:r>
    </w:p>
    <w:p w:rsidR="00674C5D" w:rsidRPr="00E24185" w:rsidRDefault="00674C5D" w:rsidP="00674C5D">
      <w:pPr>
        <w:jc w:val="both"/>
        <w:rPr>
          <w:rFonts w:ascii="Calibri" w:hAnsi="Calibri" w:cs="Calibri"/>
          <w:sz w:val="22"/>
          <w:szCs w:val="22"/>
        </w:rPr>
      </w:pPr>
      <w:r w:rsidRPr="00E24185">
        <w:rPr>
          <w:rFonts w:ascii="Calibri" w:hAnsi="Calibri" w:cs="Calibri"/>
          <w:sz w:val="22"/>
          <w:szCs w:val="22"/>
        </w:rPr>
        <w:t>Po aplikaciji z Moventom SC 100 bodo na listih še prisotne uši/pršice, ki pa se prenehajo prehranjevati, končen učinek delovanja omenjenega sredstva bo viden šele v 5-7 dni po aplikaciji. Pri uporabi sredstev dosledno upoštevajte navodila za uporabo, kjer so navedeni odmiki oziroma varnostni pasovi od voda 1. in drugega reda. Pri uporabi pripravkov Teppeki in Movento SC 100 morate upoštevati odmik od voda 1. reda 15 metrov, 2. reda pa 5 m.</w:t>
      </w:r>
    </w:p>
    <w:p w:rsidR="00674C5D" w:rsidRPr="00E24185" w:rsidRDefault="00674C5D" w:rsidP="00674C5D">
      <w:pPr>
        <w:jc w:val="both"/>
        <w:rPr>
          <w:rFonts w:ascii="Calibri" w:hAnsi="Calibri" w:cs="Calibri"/>
          <w:b/>
          <w:sz w:val="22"/>
          <w:szCs w:val="22"/>
          <w:u w:val="single"/>
        </w:rPr>
      </w:pPr>
    </w:p>
    <w:p w:rsidR="00674C5D" w:rsidRPr="00E24185" w:rsidRDefault="00674C5D" w:rsidP="00674C5D">
      <w:pPr>
        <w:jc w:val="both"/>
        <w:rPr>
          <w:rFonts w:ascii="Calibri" w:hAnsi="Calibri" w:cs="Calibri"/>
          <w:sz w:val="22"/>
          <w:szCs w:val="22"/>
        </w:rPr>
      </w:pPr>
      <w:r w:rsidRPr="00E24185">
        <w:rPr>
          <w:rFonts w:ascii="Calibri" w:hAnsi="Calibri" w:cs="Calibri"/>
          <w:b/>
          <w:sz w:val="22"/>
          <w:szCs w:val="22"/>
          <w:u w:val="single"/>
        </w:rPr>
        <w:t>OPOZORILO:</w:t>
      </w:r>
      <w:r w:rsidRPr="00E24185">
        <w:rPr>
          <w:rFonts w:ascii="Calibri" w:hAnsi="Calibri" w:cs="Calibri"/>
          <w:sz w:val="22"/>
          <w:szCs w:val="22"/>
        </w:rPr>
        <w:t xml:space="preserve"> Glede na tehnične lastnosti Moventa SC 100 proizvajalec svetuje, da ga uporabite samostojno, namreč nekateri pripravki lahko delovanje oziroma pretok Moventa upočasnijo. Zato vam svetujemo, da če je le mogoče, </w:t>
      </w:r>
      <w:r w:rsidRPr="00E24185">
        <w:rPr>
          <w:rFonts w:ascii="Calibri" w:hAnsi="Calibri" w:cs="Calibri"/>
          <w:b/>
          <w:sz w:val="22"/>
          <w:szCs w:val="22"/>
        </w:rPr>
        <w:t>Movento SC 100 uporabite samostojno</w:t>
      </w:r>
      <w:r w:rsidRPr="00E24185">
        <w:rPr>
          <w:rFonts w:ascii="Calibri" w:hAnsi="Calibri" w:cs="Calibri"/>
          <w:sz w:val="22"/>
          <w:szCs w:val="22"/>
        </w:rPr>
        <w:t xml:space="preserve">, v skrajnem primeru pa poleg porabite zgolj </w:t>
      </w:r>
      <w:r w:rsidRPr="00E24185">
        <w:rPr>
          <w:rFonts w:ascii="Calibri" w:hAnsi="Calibri" w:cs="Calibri"/>
          <w:b/>
          <w:sz w:val="22"/>
          <w:szCs w:val="22"/>
          <w:u w:val="single"/>
        </w:rPr>
        <w:t>en fungicid</w:t>
      </w:r>
      <w:r w:rsidRPr="00E24185">
        <w:rPr>
          <w:rFonts w:ascii="Calibri" w:hAnsi="Calibri" w:cs="Calibri"/>
          <w:sz w:val="22"/>
          <w:szCs w:val="22"/>
        </w:rPr>
        <w:t xml:space="preserve"> (npr. za zatiranje hmeljeve peronospore). Odsvetujemo vam dodajanje ostalih pripravkov npr. za koruzno veščo ali morebiti foliarnih gnojil.</w:t>
      </w:r>
    </w:p>
    <w:p w:rsidR="00674C5D" w:rsidRPr="00E24185" w:rsidRDefault="00674C5D" w:rsidP="00674C5D">
      <w:pPr>
        <w:jc w:val="both"/>
        <w:rPr>
          <w:rFonts w:ascii="Calibri" w:hAnsi="Calibri" w:cs="Calibri"/>
          <w:sz w:val="22"/>
          <w:szCs w:val="22"/>
        </w:rPr>
      </w:pPr>
    </w:p>
    <w:p w:rsidR="00674C5D" w:rsidRPr="00E24185" w:rsidRDefault="00674C5D" w:rsidP="00674C5D">
      <w:pPr>
        <w:jc w:val="both"/>
        <w:rPr>
          <w:rFonts w:ascii="Calibri" w:hAnsi="Calibri" w:cs="Calibri"/>
          <w:b/>
          <w:sz w:val="22"/>
          <w:szCs w:val="22"/>
          <w:u w:val="single"/>
        </w:rPr>
      </w:pPr>
      <w:r w:rsidRPr="00E24185">
        <w:rPr>
          <w:rFonts w:ascii="Calibri" w:hAnsi="Calibri" w:cs="Calibri"/>
          <w:sz w:val="22"/>
          <w:szCs w:val="22"/>
        </w:rPr>
        <w:t xml:space="preserve">Priporočamo vam, da v letošnjem letu uporabite insekticid z drugo aktivno snovjo kot ste ga uporabili v lanskem letu, da kolobarite med sredstvi in s tem preprečili prehiter nastanek odpornosti oziroma rezistence. Naj vas opomnimo, da pred uporabo insekticidov okrog hmeljišč </w:t>
      </w:r>
      <w:r w:rsidRPr="00E24185">
        <w:rPr>
          <w:rFonts w:ascii="Calibri" w:hAnsi="Calibri" w:cs="Calibri"/>
          <w:b/>
          <w:sz w:val="22"/>
          <w:szCs w:val="22"/>
          <w:u w:val="single"/>
        </w:rPr>
        <w:t>zmulčite oziroma pokosite morebitne cvetoče rastline.</w:t>
      </w:r>
    </w:p>
    <w:p w:rsidR="00674C5D" w:rsidRPr="00E24185" w:rsidRDefault="00674C5D" w:rsidP="00674C5D">
      <w:pPr>
        <w:jc w:val="both"/>
        <w:rPr>
          <w:rFonts w:ascii="Calibri" w:hAnsi="Calibri" w:cs="Calibri"/>
          <w:sz w:val="22"/>
          <w:szCs w:val="22"/>
        </w:rPr>
      </w:pPr>
    </w:p>
    <w:p w:rsidR="00674C5D" w:rsidRPr="00E24185" w:rsidRDefault="00745530" w:rsidP="00674C5D">
      <w:pPr>
        <w:rPr>
          <w:rFonts w:ascii="Calibri" w:hAnsi="Calibri" w:cs="Calibri"/>
          <w:b/>
          <w:i/>
          <w:sz w:val="22"/>
          <w:szCs w:val="22"/>
        </w:rPr>
      </w:pPr>
      <w:r w:rsidRPr="00E24185">
        <w:rPr>
          <w:rFonts w:ascii="Calibri" w:hAnsi="Calibri" w:cs="Calibri"/>
          <w:b/>
          <w:i/>
          <w:sz w:val="22"/>
          <w:szCs w:val="22"/>
        </w:rPr>
        <w:t>Hmeljeva pršica</w:t>
      </w:r>
    </w:p>
    <w:p w:rsidR="00745530" w:rsidRPr="00E24185" w:rsidRDefault="00745530" w:rsidP="00674C5D">
      <w:pPr>
        <w:rPr>
          <w:rFonts w:ascii="Calibri" w:hAnsi="Calibri" w:cs="Calibri"/>
          <w:b/>
          <w:i/>
          <w:sz w:val="22"/>
          <w:szCs w:val="22"/>
        </w:rPr>
      </w:pPr>
    </w:p>
    <w:p w:rsidR="00674C5D" w:rsidRPr="00E24185" w:rsidRDefault="00674C5D" w:rsidP="00674C5D">
      <w:pPr>
        <w:jc w:val="both"/>
        <w:rPr>
          <w:rFonts w:ascii="Calibri" w:hAnsi="Calibri" w:cs="Calibri"/>
          <w:sz w:val="22"/>
          <w:szCs w:val="22"/>
        </w:rPr>
      </w:pPr>
      <w:r w:rsidRPr="00E24185">
        <w:rPr>
          <w:rFonts w:ascii="Calibri" w:hAnsi="Calibri" w:cs="Calibri"/>
          <w:sz w:val="22"/>
          <w:szCs w:val="22"/>
        </w:rPr>
        <w:t>V prejšnjem tednu smo mestoma našli hmeljevo pršico, gre za posamične najdbe predvsem na lažjih, peščenih tleh. Toplo in suho vreme bo njen razvoj v naslednjih dneh pospešilo. Tako bodite pri rednih pregledih h</w:t>
      </w:r>
      <w:r w:rsidR="00D357B8" w:rsidRPr="00E24185">
        <w:rPr>
          <w:rFonts w:ascii="Calibri" w:hAnsi="Calibri" w:cs="Calibri"/>
          <w:sz w:val="22"/>
          <w:szCs w:val="22"/>
        </w:rPr>
        <w:t xml:space="preserve">meljišč pozorni tudi na pršico posebej to velja predvsem za prvo letne nasade hmelja kjer pa se zlahka najde. </w:t>
      </w:r>
      <w:r w:rsidRPr="00E24185">
        <w:rPr>
          <w:rFonts w:ascii="Calibri" w:hAnsi="Calibri" w:cs="Calibri"/>
          <w:sz w:val="22"/>
          <w:szCs w:val="22"/>
        </w:rPr>
        <w:t>Trenutno za zatiranje hmeljeve pršice uporaba akaricidov ni potrebna.</w:t>
      </w:r>
    </w:p>
    <w:p w:rsidR="00674C5D" w:rsidRPr="00E24185" w:rsidRDefault="00674C5D" w:rsidP="00674C5D">
      <w:pPr>
        <w:jc w:val="both"/>
        <w:rPr>
          <w:rFonts w:ascii="Calibri" w:hAnsi="Calibri" w:cs="Calibri"/>
          <w:sz w:val="22"/>
          <w:szCs w:val="22"/>
        </w:rPr>
      </w:pPr>
    </w:p>
    <w:p w:rsidR="00674C5D" w:rsidRPr="00E24185" w:rsidRDefault="00674C5D" w:rsidP="00674C5D">
      <w:pPr>
        <w:rPr>
          <w:rFonts w:ascii="Calibri" w:hAnsi="Calibri" w:cs="Calibri"/>
          <w:i/>
          <w:sz w:val="22"/>
          <w:szCs w:val="22"/>
        </w:rPr>
      </w:pPr>
    </w:p>
    <w:p w:rsidR="00674C5D" w:rsidRPr="00E24185" w:rsidRDefault="00745530" w:rsidP="00674C5D">
      <w:pPr>
        <w:rPr>
          <w:rFonts w:ascii="Calibri" w:hAnsi="Calibri" w:cs="Calibri"/>
          <w:b/>
          <w:i/>
          <w:sz w:val="22"/>
          <w:szCs w:val="22"/>
        </w:rPr>
      </w:pPr>
      <w:r w:rsidRPr="00E24185">
        <w:rPr>
          <w:rFonts w:ascii="Calibri" w:hAnsi="Calibri" w:cs="Calibri"/>
          <w:b/>
          <w:i/>
          <w:sz w:val="22"/>
          <w:szCs w:val="22"/>
        </w:rPr>
        <w:t>Koruzna vešča</w:t>
      </w:r>
    </w:p>
    <w:p w:rsidR="00674C5D" w:rsidRPr="00E24185" w:rsidRDefault="00674C5D" w:rsidP="00674C5D">
      <w:pPr>
        <w:jc w:val="both"/>
        <w:rPr>
          <w:rFonts w:ascii="Calibri" w:hAnsi="Calibri" w:cs="Calibri"/>
          <w:sz w:val="22"/>
          <w:szCs w:val="22"/>
        </w:rPr>
      </w:pPr>
    </w:p>
    <w:p w:rsidR="00674C5D" w:rsidRPr="00E24185" w:rsidRDefault="00674C5D" w:rsidP="00674C5D">
      <w:pPr>
        <w:jc w:val="both"/>
        <w:rPr>
          <w:rFonts w:ascii="Calibri" w:hAnsi="Calibri" w:cs="Calibri"/>
          <w:sz w:val="22"/>
          <w:szCs w:val="22"/>
        </w:rPr>
      </w:pPr>
      <w:r w:rsidRPr="00E24185">
        <w:rPr>
          <w:rFonts w:ascii="Calibri" w:hAnsi="Calibri" w:cs="Calibri"/>
          <w:sz w:val="22"/>
          <w:szCs w:val="22"/>
        </w:rPr>
        <w:t xml:space="preserve">Prve metulje koruzne vešče smo letos na svetlobni vabi ulovili zelo pozno in sicer na lokaciji Roje pri Žalcu v drugi dekadi maja (22. maja), v Žalcu pa konec maja. Populacija koruzne vešče na svetlobni vabi na Rojah pri Žalcu, je primerljiva z lanskim letom, le da je časovno zamaknjena za cca. 3 tedne. V  zadnjih 10 dnevih, ko so bile nočne temperature malo višje, na svetlobni vabi na Rojah pri Žalcu ulovimo od 5 do 19 metuljev/noč (graf 2). V Žalcu je slabši ulov. Trenutno še nismo našli izleglih gosenic, katere pa pričakujemo čez kakšen teden. Tako vam zaenkrat </w:t>
      </w:r>
      <w:r w:rsidRPr="00E24185">
        <w:rPr>
          <w:rFonts w:ascii="Calibri" w:hAnsi="Calibri" w:cs="Calibri"/>
          <w:b/>
          <w:sz w:val="22"/>
          <w:szCs w:val="22"/>
        </w:rPr>
        <w:t>ne priporočamo</w:t>
      </w:r>
      <w:r w:rsidRPr="00E24185">
        <w:rPr>
          <w:rFonts w:ascii="Calibri" w:hAnsi="Calibri" w:cs="Calibri"/>
          <w:sz w:val="22"/>
          <w:szCs w:val="22"/>
        </w:rPr>
        <w:t xml:space="preserve"> uporabe kontaktnega insekticida </w:t>
      </w:r>
      <w:r w:rsidRPr="00E24185">
        <w:rPr>
          <w:rFonts w:ascii="Calibri" w:hAnsi="Calibri" w:cs="Calibri"/>
          <w:i/>
          <w:sz w:val="22"/>
          <w:szCs w:val="22"/>
        </w:rPr>
        <w:t xml:space="preserve">Agree WG </w:t>
      </w:r>
      <w:r w:rsidRPr="00E24185">
        <w:rPr>
          <w:rFonts w:ascii="Calibri" w:hAnsi="Calibri" w:cs="Calibri"/>
          <w:sz w:val="22"/>
          <w:szCs w:val="22"/>
        </w:rPr>
        <w:t xml:space="preserve">(1 kg/ha), ki vsebuje a.s. </w:t>
      </w:r>
      <w:r w:rsidRPr="00E24185">
        <w:rPr>
          <w:rFonts w:ascii="Calibri" w:hAnsi="Calibri" w:cs="Calibri"/>
          <w:i/>
          <w:sz w:val="22"/>
          <w:szCs w:val="22"/>
        </w:rPr>
        <w:t xml:space="preserve">Bacillus thuringhiensis var. aizawai </w:t>
      </w:r>
      <w:r w:rsidRPr="00E24185">
        <w:rPr>
          <w:rFonts w:ascii="Calibri" w:hAnsi="Calibri" w:cs="Calibri"/>
          <w:sz w:val="22"/>
          <w:szCs w:val="22"/>
        </w:rPr>
        <w:t xml:space="preserve">ali </w:t>
      </w:r>
      <w:r w:rsidRPr="00E24185">
        <w:rPr>
          <w:rFonts w:ascii="Calibri" w:hAnsi="Calibri" w:cs="Calibri"/>
          <w:i/>
          <w:sz w:val="22"/>
          <w:szCs w:val="22"/>
        </w:rPr>
        <w:t xml:space="preserve">Lepinox plus </w:t>
      </w:r>
      <w:r w:rsidRPr="00E24185">
        <w:rPr>
          <w:rFonts w:ascii="Calibri" w:hAnsi="Calibri" w:cs="Calibri"/>
          <w:sz w:val="22"/>
          <w:szCs w:val="22"/>
        </w:rPr>
        <w:t xml:space="preserve">(1 kg/ha), ki vsebuje a.s </w:t>
      </w:r>
      <w:r w:rsidRPr="00E24185">
        <w:rPr>
          <w:rFonts w:ascii="Calibri" w:hAnsi="Calibri" w:cs="Calibri"/>
          <w:i/>
          <w:sz w:val="22"/>
          <w:szCs w:val="22"/>
        </w:rPr>
        <w:t>Bacillus thuringhiensis var. kurstaki</w:t>
      </w:r>
      <w:r w:rsidRPr="00E24185">
        <w:rPr>
          <w:rFonts w:ascii="Calibri" w:hAnsi="Calibri" w:cs="Calibri"/>
          <w:sz w:val="22"/>
          <w:szCs w:val="22"/>
        </w:rPr>
        <w:t>. Enega izmed teh dveh pripravkov boste v hmeljiščih, kjer imate težave s koruzno veščo, uporabili pri naslednjih aplikacijah, na kar vas bomo opozorili.</w:t>
      </w:r>
    </w:p>
    <w:p w:rsidR="00674C5D" w:rsidRPr="00E24185" w:rsidRDefault="00674C5D" w:rsidP="00674C5D">
      <w:pPr>
        <w:jc w:val="both"/>
        <w:rPr>
          <w:rFonts w:ascii="Calibri" w:hAnsi="Calibri" w:cs="Calibri"/>
          <w:sz w:val="22"/>
          <w:szCs w:val="22"/>
        </w:rPr>
      </w:pPr>
    </w:p>
    <w:p w:rsidR="00674C5D" w:rsidRPr="00E24185" w:rsidRDefault="00664BAD" w:rsidP="00745530">
      <w:pPr>
        <w:jc w:val="center"/>
        <w:rPr>
          <w:rFonts w:ascii="Calibri" w:hAnsi="Calibri" w:cs="Calibri"/>
          <w:sz w:val="22"/>
          <w:szCs w:val="22"/>
        </w:rPr>
      </w:pPr>
      <w:r w:rsidRPr="00E24185">
        <w:rPr>
          <w:rFonts w:ascii="Calibri" w:hAnsi="Calibri" w:cs="Calibri"/>
          <w:noProof/>
          <w:sz w:val="22"/>
          <w:szCs w:val="22"/>
        </w:rPr>
        <w:lastRenderedPageBreak/>
        <w:drawing>
          <wp:inline distT="0" distB="0" distL="0" distR="0">
            <wp:extent cx="4767580" cy="3023235"/>
            <wp:effectExtent l="0" t="0" r="13970" b="5715"/>
            <wp:docPr id="8" name="Grafikon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674C5D" w:rsidRPr="00E24185" w:rsidRDefault="00674C5D" w:rsidP="00674C5D">
      <w:pPr>
        <w:jc w:val="both"/>
        <w:rPr>
          <w:rFonts w:ascii="Calibri" w:hAnsi="Calibri" w:cs="Calibri"/>
          <w:sz w:val="18"/>
          <w:szCs w:val="18"/>
        </w:rPr>
      </w:pPr>
      <w:r w:rsidRPr="00E24185">
        <w:rPr>
          <w:rFonts w:ascii="Calibri" w:hAnsi="Calibri" w:cs="Calibri"/>
          <w:sz w:val="18"/>
          <w:szCs w:val="18"/>
        </w:rPr>
        <w:t>Graf 2</w:t>
      </w:r>
      <w:r w:rsidRPr="00E24185">
        <w:rPr>
          <w:rFonts w:ascii="Calibri" w:hAnsi="Calibri" w:cs="Calibri"/>
          <w:sz w:val="18"/>
          <w:szCs w:val="18"/>
          <w:highlight w:val="yellow"/>
        </w:rPr>
        <w:t>:</w:t>
      </w:r>
      <w:r w:rsidRPr="00E24185">
        <w:rPr>
          <w:rFonts w:ascii="Calibri" w:hAnsi="Calibri" w:cs="Calibri"/>
          <w:sz w:val="18"/>
          <w:szCs w:val="18"/>
        </w:rPr>
        <w:t xml:space="preserve"> Let metuljev koruzne vešče 1. generacije na svetlobni vabi v Žalcu (zeleni stolpci) in Rojah pri Žalcu (rdeči stolpci) v letu 2021 v primerjavi z letom na Rojah pri Žalcu v letu 2020 (modri stolpci)</w:t>
      </w:r>
    </w:p>
    <w:p w:rsidR="00674C5D" w:rsidRPr="00E24185" w:rsidRDefault="00674C5D" w:rsidP="00674C5D">
      <w:pPr>
        <w:jc w:val="both"/>
        <w:rPr>
          <w:rFonts w:ascii="Calibri" w:hAnsi="Calibri" w:cs="Calibri"/>
          <w:sz w:val="22"/>
          <w:szCs w:val="22"/>
        </w:rPr>
      </w:pPr>
    </w:p>
    <w:p w:rsidR="00674C5D" w:rsidRPr="00E24185" w:rsidRDefault="00674C5D" w:rsidP="00674C5D">
      <w:pPr>
        <w:jc w:val="both"/>
        <w:rPr>
          <w:rFonts w:ascii="Calibri" w:hAnsi="Calibri" w:cs="Calibri"/>
          <w:b/>
          <w:i/>
          <w:sz w:val="22"/>
          <w:szCs w:val="22"/>
        </w:rPr>
      </w:pPr>
      <w:r w:rsidRPr="00E24185">
        <w:rPr>
          <w:rFonts w:ascii="Calibri" w:hAnsi="Calibri" w:cs="Calibri"/>
          <w:b/>
          <w:i/>
          <w:sz w:val="22"/>
          <w:szCs w:val="22"/>
        </w:rPr>
        <w:t xml:space="preserve">Huda viroidna zakrnelost hmelja </w:t>
      </w:r>
    </w:p>
    <w:p w:rsidR="00674C5D" w:rsidRPr="00E24185" w:rsidRDefault="00674C5D" w:rsidP="00674C5D">
      <w:pPr>
        <w:rPr>
          <w:rFonts w:ascii="Calibri" w:hAnsi="Calibri" w:cs="Calibri"/>
          <w:sz w:val="22"/>
          <w:szCs w:val="22"/>
        </w:rPr>
      </w:pPr>
    </w:p>
    <w:p w:rsidR="00674C5D" w:rsidRPr="00E24185" w:rsidRDefault="00674C5D" w:rsidP="00674C5D">
      <w:pPr>
        <w:pStyle w:val="Naslov1"/>
        <w:jc w:val="both"/>
        <w:rPr>
          <w:rFonts w:ascii="Calibri" w:hAnsi="Calibri" w:cs="Calibri"/>
          <w:b w:val="0"/>
          <w:sz w:val="22"/>
          <w:szCs w:val="22"/>
        </w:rPr>
      </w:pPr>
      <w:r w:rsidRPr="00E24185">
        <w:rPr>
          <w:rFonts w:ascii="Calibri" w:hAnsi="Calibri" w:cs="Calibri"/>
          <w:b w:val="0"/>
          <w:sz w:val="22"/>
          <w:szCs w:val="22"/>
        </w:rPr>
        <w:t xml:space="preserve">Prihajamo v obdobje rasti hmelja, ko na rastlinah že lahko opazimo prva bolezenska znamenja, ki jih na hmelju povzroča citrus bark cracking viroid (CBCVd). Okužene rastline zaostajajo v rasti ter razvijajo zbito in nepravilno rast glavnih in stranjskih poganjkov. Značilno bolezensko znamenje predstavlja tudi vihanje listnih robov navzdol, intenzivnejše poganjanje stranskih poganjkov ter blago rumenenje listne mase predvsem v zgornjem delu rastlin. V nadaljevanju vegetacije se pojav bolezenskih znamenj stopnjuje tako, da rastline ne dosežejo višine žičnice, listi ostajajo manjši in nekoliko mehurjasti, storžki pa nepopolno razviti. Ker podobna bolezenska znamenja lahko povzročajo tudi ostali dejavniki kot so pomanjkanje  mikroelementov, zanos herbicidov iz sosednjih polj, virusne okužbe, okužbe nekaterih talnih gliv je pomembno, da ste pozorni na kakršnekoli sumljive rastline, ki po rasti odstopajo od ostalih rastlin v nasadu. Za nedvoumno potrditev okužbe je potrebno opraviti laboratorijsko analizo s katero potrdimo ali ovržemo prisotnost CBCVd. </w:t>
      </w:r>
    </w:p>
    <w:p w:rsidR="00674C5D" w:rsidRPr="00E24185" w:rsidRDefault="00674C5D" w:rsidP="00674C5D">
      <w:pPr>
        <w:pStyle w:val="Naslov1"/>
        <w:jc w:val="both"/>
        <w:rPr>
          <w:rFonts w:ascii="Calibri" w:hAnsi="Calibri" w:cs="Calibri"/>
          <w:b w:val="0"/>
          <w:sz w:val="22"/>
          <w:szCs w:val="22"/>
        </w:rPr>
      </w:pPr>
    </w:p>
    <w:p w:rsidR="00674C5D" w:rsidRPr="00E24185" w:rsidRDefault="00674C5D" w:rsidP="00674C5D">
      <w:pPr>
        <w:jc w:val="both"/>
        <w:rPr>
          <w:rFonts w:ascii="Calibri" w:hAnsi="Calibri" w:cs="Calibri"/>
          <w:sz w:val="22"/>
          <w:szCs w:val="22"/>
        </w:rPr>
      </w:pPr>
      <w:r w:rsidRPr="00E24185">
        <w:rPr>
          <w:rFonts w:ascii="Calibri" w:hAnsi="Calibri" w:cs="Calibri"/>
          <w:sz w:val="22"/>
          <w:szCs w:val="22"/>
        </w:rPr>
        <w:t>Prijavo o najdbi sumljivih rastlin opravite po telefonu, elektronski pošti ali po navadni pošti na naslov pristojnega območnega urada Inšpekcije za varno hrano, veterinarstvo in varstvo rastlin:</w:t>
      </w:r>
    </w:p>
    <w:p w:rsidR="00674C5D" w:rsidRPr="00E24185" w:rsidRDefault="00674C5D" w:rsidP="00674C5D">
      <w:pPr>
        <w:numPr>
          <w:ilvl w:val="0"/>
          <w:numId w:val="28"/>
        </w:numPr>
        <w:overflowPunct/>
        <w:autoSpaceDE/>
        <w:autoSpaceDN/>
        <w:adjustRightInd/>
        <w:jc w:val="both"/>
        <w:textAlignment w:val="auto"/>
        <w:rPr>
          <w:rFonts w:ascii="Calibri" w:hAnsi="Calibri" w:cs="Calibri"/>
          <w:sz w:val="22"/>
          <w:szCs w:val="22"/>
        </w:rPr>
      </w:pPr>
      <w:r w:rsidRPr="00E24185">
        <w:rPr>
          <w:rFonts w:ascii="Calibri" w:hAnsi="Calibri" w:cs="Calibri"/>
          <w:sz w:val="22"/>
          <w:szCs w:val="22"/>
        </w:rPr>
        <w:t>Območni urad Celje, tel. 03 425 27 70; e-pošta: OU-Celje.UVHVVR@gov.si</w:t>
      </w:r>
    </w:p>
    <w:p w:rsidR="00674C5D" w:rsidRPr="00E24185" w:rsidRDefault="00674C5D" w:rsidP="00674C5D">
      <w:pPr>
        <w:numPr>
          <w:ilvl w:val="0"/>
          <w:numId w:val="28"/>
        </w:numPr>
        <w:overflowPunct/>
        <w:autoSpaceDE/>
        <w:autoSpaceDN/>
        <w:adjustRightInd/>
        <w:jc w:val="both"/>
        <w:textAlignment w:val="auto"/>
        <w:rPr>
          <w:rFonts w:ascii="Calibri" w:hAnsi="Calibri" w:cs="Calibri"/>
          <w:sz w:val="22"/>
          <w:szCs w:val="22"/>
        </w:rPr>
      </w:pPr>
      <w:r w:rsidRPr="00E24185">
        <w:rPr>
          <w:rFonts w:ascii="Calibri" w:hAnsi="Calibri" w:cs="Calibri"/>
          <w:sz w:val="22"/>
          <w:szCs w:val="22"/>
        </w:rPr>
        <w:t>Območni urad Maribor, tel. 02 238 00 00; e-pošta: OU-Maribor.UVHVVR@gov.si</w:t>
      </w:r>
    </w:p>
    <w:p w:rsidR="00674C5D" w:rsidRPr="00E24185" w:rsidRDefault="00674C5D" w:rsidP="00674C5D">
      <w:pPr>
        <w:numPr>
          <w:ilvl w:val="0"/>
          <w:numId w:val="28"/>
        </w:numPr>
        <w:overflowPunct/>
        <w:autoSpaceDE/>
        <w:autoSpaceDN/>
        <w:adjustRightInd/>
        <w:jc w:val="both"/>
        <w:textAlignment w:val="auto"/>
        <w:rPr>
          <w:rFonts w:ascii="Calibri" w:hAnsi="Calibri" w:cs="Calibri"/>
          <w:sz w:val="22"/>
          <w:szCs w:val="22"/>
        </w:rPr>
      </w:pPr>
      <w:r w:rsidRPr="00E24185">
        <w:rPr>
          <w:rFonts w:ascii="Calibri" w:hAnsi="Calibri" w:cs="Calibri"/>
          <w:sz w:val="22"/>
          <w:szCs w:val="22"/>
        </w:rPr>
        <w:t>Območni urad Ptuj, tel. 02 798 03 60; e-pošta: OU-Celje.UVHVVR@gov.si</w:t>
      </w:r>
    </w:p>
    <w:p w:rsidR="00674C5D" w:rsidRPr="00E24185" w:rsidRDefault="00674C5D" w:rsidP="00674C5D">
      <w:pPr>
        <w:rPr>
          <w:rFonts w:ascii="Calibri" w:hAnsi="Calibri" w:cs="Calibri"/>
          <w:sz w:val="22"/>
          <w:szCs w:val="22"/>
        </w:rPr>
      </w:pPr>
    </w:p>
    <w:p w:rsidR="00674C5D" w:rsidRPr="00E24185" w:rsidRDefault="00674C5D" w:rsidP="00674C5D">
      <w:pPr>
        <w:jc w:val="both"/>
        <w:rPr>
          <w:rFonts w:ascii="Calibri" w:hAnsi="Calibri" w:cs="Calibri"/>
          <w:sz w:val="22"/>
          <w:szCs w:val="22"/>
        </w:rPr>
      </w:pPr>
      <w:r w:rsidRPr="00E24185">
        <w:rPr>
          <w:rFonts w:ascii="Calibri" w:hAnsi="Calibri" w:cs="Calibri"/>
          <w:sz w:val="22"/>
          <w:szCs w:val="22"/>
        </w:rPr>
        <w:t xml:space="preserve">V primeru pisnega obvestila o pojavu okužbe mora biti navedeno ime, priimek in naslov hmeljarja ter GERK na katerem ste opazili sumljive rastline. Prejeto obvestilo o sumu bo posredovano na IHPS, ki bo izvedel vzorčenje in pregled hmeljišča. </w:t>
      </w:r>
    </w:p>
    <w:p w:rsidR="00674C5D" w:rsidRPr="00E24185" w:rsidRDefault="00674C5D" w:rsidP="00674C5D">
      <w:pPr>
        <w:rPr>
          <w:rFonts w:ascii="Calibri" w:hAnsi="Calibri" w:cs="Calibri"/>
          <w:sz w:val="22"/>
          <w:szCs w:val="22"/>
        </w:rPr>
      </w:pPr>
      <w:r w:rsidRPr="00E24185">
        <w:rPr>
          <w:rFonts w:ascii="Calibri" w:hAnsi="Calibri" w:cs="Calibri"/>
          <w:sz w:val="22"/>
          <w:szCs w:val="22"/>
        </w:rPr>
        <w:t xml:space="preserve">  </w:t>
      </w:r>
    </w:p>
    <w:p w:rsidR="00674C5D" w:rsidRPr="00E24185" w:rsidRDefault="00674C5D" w:rsidP="00674C5D">
      <w:pPr>
        <w:pStyle w:val="Naslov1"/>
        <w:jc w:val="both"/>
        <w:rPr>
          <w:rFonts w:ascii="Calibri" w:hAnsi="Calibri" w:cs="Calibri"/>
          <w:b w:val="0"/>
          <w:sz w:val="22"/>
          <w:szCs w:val="22"/>
        </w:rPr>
      </w:pPr>
      <w:r w:rsidRPr="00E24185">
        <w:rPr>
          <w:rFonts w:ascii="Calibri" w:hAnsi="Calibri" w:cs="Calibri"/>
          <w:b w:val="0"/>
          <w:sz w:val="22"/>
          <w:szCs w:val="22"/>
        </w:rPr>
        <w:t xml:space="preserve">CBCVd se prenaša z rastlinskim sokom, ki se zasuši na orodju in opremi, z okuženim sadilnim materialom, hmeljevino ter ostalimi ne-razgrajenimi ostanki rastlin. Obolele rastline so neozdravljive in kužne po celotni površini, zato je v primeru potrjene okužbe ključnega pomena, da jih čim prej odstranite iz nasada. V času odstranjevanja nadzemnega dela rastlin se na sveže prerezan bazalni del trt nanese totalni herbicid, da povzročimo propad okužene korenike. V ta namen je registriran herbicidni pripravek Touchdown System 4 (15% konc.) podjetja Syngenta. </w:t>
      </w:r>
    </w:p>
    <w:p w:rsidR="00674C5D" w:rsidRPr="00E24185" w:rsidRDefault="00674C5D" w:rsidP="00674C5D">
      <w:pPr>
        <w:rPr>
          <w:rFonts w:ascii="Calibri" w:hAnsi="Calibri" w:cs="Calibri"/>
          <w:sz w:val="22"/>
          <w:szCs w:val="22"/>
        </w:rPr>
      </w:pPr>
    </w:p>
    <w:p w:rsidR="00674C5D" w:rsidRPr="00E24185" w:rsidRDefault="00674C5D" w:rsidP="00674C5D">
      <w:pPr>
        <w:jc w:val="both"/>
        <w:rPr>
          <w:rFonts w:ascii="Calibri" w:hAnsi="Calibri" w:cs="Calibri"/>
          <w:sz w:val="22"/>
          <w:szCs w:val="22"/>
        </w:rPr>
      </w:pPr>
      <w:r w:rsidRPr="00E24185">
        <w:rPr>
          <w:rFonts w:ascii="Calibri" w:hAnsi="Calibri" w:cs="Calibri"/>
          <w:sz w:val="22"/>
          <w:szCs w:val="22"/>
        </w:rPr>
        <w:t xml:space="preserve">Okužene nadzemne dele rastlin lahko najhitreje uničite z zakopom (prekrito z najmanj 1 m zemlje) , ki ne sme biti na vodovarstvenem območju I. reda. Možen je tudi sežig ali pa odvoz na urejene deponije, ki se ukvarjajo s </w:t>
      </w:r>
      <w:r w:rsidRPr="00E24185">
        <w:rPr>
          <w:rFonts w:ascii="Calibri" w:hAnsi="Calibri" w:cs="Calibri"/>
          <w:sz w:val="22"/>
          <w:szCs w:val="22"/>
        </w:rPr>
        <w:lastRenderedPageBreak/>
        <w:t xml:space="preserve">kompostiranjem organskih odpadkov. Na okuženem delu nasada je potrebno izvajati minimalno obdelavo in redno razkuževati vso opremo, ki se je uporabila na tem delu nasada. Po obiranju je potrebno podzemne dele okuženih rastlin izorati in uničiti na način, ki ga boste dogovorili s pristojnim fitosanitarnim inšpektorjem.  Ob delu v nasadih ne pozabite na razkuževanje delovne opreme, predvsem na okuženih delih nasadov. Pri izbiri razkužila priporočamo uporabo razkužila Virocid v 2% konc.  Ker je omenjeno razkužilo lahko dražeče za sluznice, priporočamo ustrezno zaščito uporabnikov (zaščitna maska in očala, rokavice). Za razkuževanje rok in rokavic lahko uporabite tudi razkužila, ki so primerna za dezinfekcijo rok npr. Spitaderm, ki so dostopna v lekarnah ali ostalih prodajnih mestih.  </w:t>
      </w:r>
    </w:p>
    <w:p w:rsidR="00674C5D" w:rsidRPr="00E24185" w:rsidRDefault="00674C5D" w:rsidP="00674C5D">
      <w:pPr>
        <w:jc w:val="both"/>
        <w:rPr>
          <w:rFonts w:ascii="Calibri" w:hAnsi="Calibri" w:cs="Calibri"/>
          <w:sz w:val="22"/>
          <w:szCs w:val="22"/>
        </w:rPr>
      </w:pPr>
    </w:p>
    <w:p w:rsidR="00674C5D" w:rsidRPr="00E24185" w:rsidRDefault="00674C5D" w:rsidP="00674C5D">
      <w:pPr>
        <w:jc w:val="both"/>
        <w:rPr>
          <w:rFonts w:ascii="Calibri" w:hAnsi="Calibri" w:cs="Calibri"/>
          <w:sz w:val="22"/>
          <w:szCs w:val="22"/>
        </w:rPr>
      </w:pPr>
      <w:r w:rsidRPr="00E24185">
        <w:rPr>
          <w:rFonts w:ascii="Calibri" w:hAnsi="Calibri" w:cs="Calibri"/>
          <w:sz w:val="22"/>
          <w:szCs w:val="22"/>
        </w:rPr>
        <w:t xml:space="preserve">Poleg rednih odzivov na prijave najdb sumljivih rastlin bo IHPS konec junija pa vse do konca avgusta izvajal sistematične preglede hmeljišč, ki bodo predvsem usmerjeni na do sedaj še nepregledana območja. Pred pregledi nasadov na vašem območju vas bomo o tem redno obveščali.  </w:t>
      </w:r>
    </w:p>
    <w:p w:rsidR="00674C5D" w:rsidRPr="00E24185" w:rsidRDefault="00674C5D" w:rsidP="00674C5D">
      <w:pPr>
        <w:jc w:val="both"/>
        <w:rPr>
          <w:rFonts w:ascii="Calibri" w:hAnsi="Calibri" w:cs="Calibri"/>
          <w:b/>
          <w:sz w:val="22"/>
          <w:szCs w:val="22"/>
        </w:rPr>
      </w:pPr>
    </w:p>
    <w:p w:rsidR="00674C5D" w:rsidRPr="00E24185" w:rsidRDefault="00674C5D" w:rsidP="00674C5D">
      <w:pPr>
        <w:rPr>
          <w:rFonts w:ascii="Calibri" w:hAnsi="Calibri" w:cs="Calibri"/>
          <w:b/>
          <w:i/>
          <w:sz w:val="22"/>
          <w:szCs w:val="22"/>
        </w:rPr>
      </w:pPr>
      <w:r w:rsidRPr="00E24185">
        <w:rPr>
          <w:rFonts w:ascii="Calibri" w:hAnsi="Calibri" w:cs="Calibri"/>
          <w:b/>
          <w:i/>
          <w:sz w:val="22"/>
          <w:szCs w:val="22"/>
        </w:rPr>
        <w:t>Verticilijska uvelost hmelja</w:t>
      </w:r>
    </w:p>
    <w:p w:rsidR="00674C5D" w:rsidRPr="00E24185" w:rsidRDefault="00674C5D" w:rsidP="00674C5D">
      <w:pPr>
        <w:jc w:val="both"/>
        <w:rPr>
          <w:rFonts w:ascii="Calibri" w:hAnsi="Calibri" w:cs="Calibri"/>
          <w:sz w:val="22"/>
          <w:szCs w:val="22"/>
        </w:rPr>
      </w:pPr>
    </w:p>
    <w:p w:rsidR="00674C5D" w:rsidRPr="00E24185" w:rsidRDefault="00674C5D" w:rsidP="00674C5D">
      <w:pPr>
        <w:jc w:val="both"/>
        <w:rPr>
          <w:rFonts w:ascii="Calibri" w:hAnsi="Calibri" w:cs="Calibri"/>
          <w:sz w:val="22"/>
          <w:szCs w:val="22"/>
        </w:rPr>
      </w:pPr>
      <w:r w:rsidRPr="00E24185">
        <w:rPr>
          <w:rFonts w:ascii="Calibri" w:hAnsi="Calibri" w:cs="Calibri"/>
          <w:sz w:val="22"/>
          <w:szCs w:val="22"/>
        </w:rPr>
        <w:t xml:space="preserve">V hmeljiščih že opažamo prva venenja in odmiranja obolelih rastlin, ki so najintenzivnejša predvsem v okuženih nasadih zelo občutljive sorte Celeia. Med najbolj prepoznavna bolezenska znamenja spadajo rumenjenje in odmiranje listov pri čemer se listni robovi obrnejo navzgor, prizadeti listi pa ob dotiku odpadejo. Razvoj bolezni se prične na spodnjem delu rastline in času 1-2 tednov prizadene celotno rastlino. Ob prerezu obolelih trt v spodnjem delu rastline je vidno rjavo prevodno tkivo. Podobna bolezenska znamenja povzročajo tudi nekateri ostali povzročitelji, kot so npr. talne glive iz rodov </w:t>
      </w:r>
      <w:r w:rsidRPr="00E24185">
        <w:rPr>
          <w:rFonts w:ascii="Calibri" w:hAnsi="Calibri" w:cs="Calibri"/>
          <w:i/>
          <w:sz w:val="22"/>
          <w:szCs w:val="22"/>
        </w:rPr>
        <w:t>Fusarium</w:t>
      </w:r>
      <w:r w:rsidRPr="00E24185">
        <w:rPr>
          <w:rFonts w:ascii="Calibri" w:hAnsi="Calibri" w:cs="Calibri"/>
          <w:sz w:val="22"/>
          <w:szCs w:val="22"/>
        </w:rPr>
        <w:t xml:space="preserve"> in </w:t>
      </w:r>
      <w:r w:rsidRPr="00E24185">
        <w:rPr>
          <w:rFonts w:ascii="Calibri" w:hAnsi="Calibri" w:cs="Calibri"/>
          <w:i/>
          <w:sz w:val="22"/>
          <w:szCs w:val="22"/>
        </w:rPr>
        <w:t>Sclerotinia</w:t>
      </w:r>
      <w:r w:rsidRPr="00E24185">
        <w:rPr>
          <w:rFonts w:ascii="Calibri" w:hAnsi="Calibri" w:cs="Calibri"/>
          <w:sz w:val="22"/>
          <w:szCs w:val="22"/>
        </w:rPr>
        <w:t>, zato je pomembno, da odvzamemo vzorec in opravimo laboratorijsko potrditev. Na osnovi ugotovitev vam bomo svetovali glede nadaljnjih ukrepov. V primeru najdbe sumljivih rastlin obvestite Oddelek za varstvo rastlin (IHPS; tel 03 71 21 600).</w:t>
      </w:r>
    </w:p>
    <w:p w:rsidR="00674C5D" w:rsidRPr="00E24185" w:rsidRDefault="00674C5D" w:rsidP="00674C5D">
      <w:pPr>
        <w:jc w:val="both"/>
        <w:rPr>
          <w:rFonts w:ascii="Calibri" w:hAnsi="Calibri" w:cs="Calibri"/>
          <w:sz w:val="22"/>
          <w:szCs w:val="22"/>
        </w:rPr>
      </w:pPr>
      <w:r w:rsidRPr="00E24185">
        <w:rPr>
          <w:rFonts w:ascii="Calibri" w:hAnsi="Calibri" w:cs="Calibri"/>
          <w:sz w:val="22"/>
          <w:szCs w:val="22"/>
        </w:rPr>
        <w:t xml:space="preserve"> </w:t>
      </w:r>
    </w:p>
    <w:p w:rsidR="00674C5D" w:rsidRPr="00E24185" w:rsidRDefault="00674C5D" w:rsidP="00F97DFC">
      <w:pPr>
        <w:pStyle w:val="Navadensplet"/>
        <w:spacing w:line="276" w:lineRule="auto"/>
        <w:jc w:val="both"/>
        <w:rPr>
          <w:rFonts w:ascii="Calibri" w:hAnsi="Calibri" w:cs="Calibri"/>
          <w:sz w:val="22"/>
          <w:szCs w:val="22"/>
        </w:rPr>
      </w:pPr>
    </w:p>
    <w:p w:rsidR="00674C5D" w:rsidRPr="00E24185" w:rsidRDefault="00674C5D" w:rsidP="00E24185">
      <w:pPr>
        <w:pStyle w:val="Naslov2"/>
        <w:shd w:val="clear" w:color="auto" w:fill="BFBFBF"/>
        <w:rPr>
          <w:rFonts w:ascii="Calibri" w:hAnsi="Calibri" w:cs="Calibri"/>
          <w:i w:val="0"/>
          <w:sz w:val="24"/>
          <w:szCs w:val="24"/>
        </w:rPr>
      </w:pPr>
      <w:r w:rsidRPr="00E24185">
        <w:rPr>
          <w:rFonts w:ascii="Calibri" w:hAnsi="Calibri" w:cs="Calibri"/>
          <w:b w:val="0"/>
          <w:i w:val="0"/>
          <w:sz w:val="24"/>
          <w:szCs w:val="24"/>
        </w:rPr>
        <w:t>B. Naglič:</w:t>
      </w:r>
      <w:r w:rsidRPr="00E24185">
        <w:rPr>
          <w:rFonts w:ascii="Calibri" w:hAnsi="Calibri" w:cs="Calibri"/>
          <w:i w:val="0"/>
          <w:sz w:val="24"/>
          <w:szCs w:val="24"/>
        </w:rPr>
        <w:t xml:space="preserve"> NAMAKANJE HMELJA</w:t>
      </w:r>
    </w:p>
    <w:p w:rsidR="00745530" w:rsidRPr="00E24185" w:rsidRDefault="00745530" w:rsidP="00674C5D">
      <w:pPr>
        <w:rPr>
          <w:rFonts w:ascii="Calibri" w:hAnsi="Calibri" w:cs="Calibri"/>
          <w:sz w:val="22"/>
          <w:szCs w:val="22"/>
        </w:rPr>
      </w:pPr>
    </w:p>
    <w:p w:rsidR="00674C5D" w:rsidRPr="00E24185" w:rsidRDefault="00674C5D" w:rsidP="00674C5D">
      <w:pPr>
        <w:rPr>
          <w:rFonts w:ascii="Calibri" w:hAnsi="Calibri" w:cs="Calibri"/>
          <w:sz w:val="22"/>
          <w:szCs w:val="22"/>
        </w:rPr>
      </w:pPr>
      <w:r w:rsidRPr="00E24185">
        <w:rPr>
          <w:rFonts w:ascii="Calibri" w:hAnsi="Calibri" w:cs="Calibri"/>
          <w:sz w:val="22"/>
          <w:szCs w:val="22"/>
        </w:rPr>
        <w:t xml:space="preserve">Glede na naše meritve se stanje vode v zgornjem in spodnjem sloju tal (20 cm in 40 cm) nahaja blizu kritične točke za namakanje z rolomati. Zaradi tega priporočamo začetek namakanja vseh nasadov hmelja. Vodna bilanca se tudi v prihodnjih dneh ne bo popravila, saj obilnejših padavin ni na vidiku. </w:t>
      </w:r>
    </w:p>
    <w:p w:rsidR="00674C5D" w:rsidRPr="00E24185" w:rsidRDefault="00674C5D" w:rsidP="00674C5D">
      <w:pPr>
        <w:rPr>
          <w:rFonts w:ascii="Calibri" w:hAnsi="Calibri" w:cs="Calibri"/>
          <w:sz w:val="22"/>
          <w:szCs w:val="22"/>
        </w:rPr>
      </w:pPr>
    </w:p>
    <w:p w:rsidR="00674C5D" w:rsidRPr="00E24185" w:rsidRDefault="00674C5D" w:rsidP="00674C5D">
      <w:pPr>
        <w:rPr>
          <w:rFonts w:ascii="Calibri" w:hAnsi="Calibri" w:cs="Calibri"/>
          <w:sz w:val="22"/>
          <w:szCs w:val="22"/>
        </w:rPr>
      </w:pPr>
      <w:r w:rsidRPr="00E24185">
        <w:rPr>
          <w:rFonts w:ascii="Calibri" w:hAnsi="Calibri" w:cs="Calibri"/>
          <w:sz w:val="22"/>
          <w:szCs w:val="22"/>
        </w:rPr>
        <w:t xml:space="preserve">Tisti, ki uporabljate kapljične namakalne sisteme nadaljujte z namakanjem v skladu z dnevnimi oziroma večdnevnimi potrebami rastlin po vodi. V pomoč naj vam bo informacija, da v tej rastni fazi in v tem vremenu hmelj porablja med 5 in 6 mm vode dnevno oz. drugače povedano: vsake 5 do 6 mm padavin odloži namakanje za 1 dan. </w:t>
      </w:r>
    </w:p>
    <w:p w:rsidR="00674C5D" w:rsidRPr="00E24185" w:rsidRDefault="00674C5D" w:rsidP="00674C5D">
      <w:pPr>
        <w:rPr>
          <w:rFonts w:ascii="Calibri" w:hAnsi="Calibri" w:cs="Calibri"/>
          <w:sz w:val="22"/>
          <w:szCs w:val="22"/>
        </w:rPr>
      </w:pPr>
    </w:p>
    <w:p w:rsidR="00674C5D" w:rsidRPr="00E24185" w:rsidRDefault="00674C5D" w:rsidP="00674C5D">
      <w:pPr>
        <w:rPr>
          <w:rFonts w:ascii="Calibri" w:hAnsi="Calibri" w:cs="Calibri"/>
          <w:sz w:val="22"/>
          <w:szCs w:val="22"/>
        </w:rPr>
      </w:pPr>
      <w:r w:rsidRPr="00E24185">
        <w:rPr>
          <w:rFonts w:ascii="Calibri" w:hAnsi="Calibri" w:cs="Calibri"/>
          <w:sz w:val="22"/>
          <w:szCs w:val="22"/>
        </w:rPr>
        <w:t>Sprotne informacije o stanju vode v tleh bodo ažurirane na našem spletnem mestu (www.ihps.si).</w:t>
      </w:r>
    </w:p>
    <w:p w:rsidR="002B39FD" w:rsidRPr="00E24185" w:rsidRDefault="002B39FD" w:rsidP="00EF3952">
      <w:pPr>
        <w:jc w:val="both"/>
        <w:rPr>
          <w:rFonts w:ascii="Calibri" w:hAnsi="Calibri" w:cs="Calibri"/>
          <w:sz w:val="22"/>
          <w:szCs w:val="22"/>
        </w:rPr>
      </w:pPr>
    </w:p>
    <w:sectPr w:rsidR="002B39FD" w:rsidRPr="00E24185" w:rsidSect="00197EAB">
      <w:footerReference w:type="even" r:id="rId16"/>
      <w:footerReference w:type="default" r:id="rId17"/>
      <w:endnotePr>
        <w:numFmt w:val="decimal"/>
      </w:endnotePr>
      <w:pgSz w:w="11907" w:h="16840" w:code="9"/>
      <w:pgMar w:top="851" w:right="851" w:bottom="1077" w:left="1134" w:header="709" w:footer="851" w:gutter="0"/>
      <w:pgNumType w:start="26"/>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5CFD" w:rsidRDefault="00775CFD">
      <w:r>
        <w:separator/>
      </w:r>
    </w:p>
  </w:endnote>
  <w:endnote w:type="continuationSeparator" w:id="0">
    <w:p w:rsidR="00775CFD" w:rsidRDefault="00775C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L Dutch">
    <w:altName w:val="Times New Roman"/>
    <w:panose1 w:val="00000000000000000000"/>
    <w:charset w:val="00"/>
    <w:family w:val="auto"/>
    <w:notTrueType/>
    <w:pitch w:val="variable"/>
    <w:sig w:usb0="00000003" w:usb1="00000000" w:usb2="00000000" w:usb3="00000000" w:csb0="00000001"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Calibri Light">
    <w:panose1 w:val="020F0302020204030204"/>
    <w:charset w:val="EE"/>
    <w:family w:val="swiss"/>
    <w:pitch w:val="variable"/>
    <w:sig w:usb0="E4002EFF" w:usb1="C0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5B2E" w:rsidRDefault="008E5B2E">
    <w:pPr>
      <w:pStyle w:val="Noga"/>
      <w:framePr w:wrap="auto" w:vAnchor="text" w:hAnchor="margin" w:xAlign="right" w:y="1"/>
      <w:widowControl/>
      <w:rPr>
        <w:rStyle w:val="tevilkastrani"/>
        <w:sz w:val="24"/>
      </w:rPr>
    </w:pPr>
    <w:r>
      <w:rPr>
        <w:rStyle w:val="tevilkastrani"/>
        <w:sz w:val="24"/>
      </w:rPr>
      <w:fldChar w:fldCharType="begin"/>
    </w:r>
    <w:r>
      <w:rPr>
        <w:rStyle w:val="tevilkastrani"/>
        <w:sz w:val="24"/>
      </w:rPr>
      <w:instrText xml:space="preserve">page  </w:instrText>
    </w:r>
    <w:r>
      <w:rPr>
        <w:rStyle w:val="tevilkastrani"/>
        <w:sz w:val="24"/>
      </w:rPr>
      <w:fldChar w:fldCharType="end"/>
    </w:r>
  </w:p>
  <w:p w:rsidR="008E5B2E" w:rsidRDefault="008E5B2E">
    <w:pPr>
      <w:pStyle w:val="Noga"/>
      <w:widowControl/>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5B2E" w:rsidRPr="00DC42F9" w:rsidRDefault="00664BAD">
    <w:pPr>
      <w:pStyle w:val="Noga0"/>
      <w:jc w:val="center"/>
      <w:rPr>
        <w:color w:val="538135"/>
      </w:rPr>
    </w:pPr>
    <w:r w:rsidRPr="00DC42F9">
      <w:rPr>
        <w:noProof/>
        <w:color w:val="538135"/>
      </w:rPr>
      <mc:AlternateContent>
        <mc:Choice Requires="wps">
          <w:drawing>
            <wp:inline distT="0" distB="0" distL="0" distR="0">
              <wp:extent cx="5467350" cy="54610"/>
              <wp:effectExtent l="6985" t="13970" r="21590" b="26670"/>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gradFill rotWithShape="0">
                        <a:gsLst>
                          <a:gs pos="0">
                            <a:srgbClr val="A8D08D"/>
                          </a:gs>
                          <a:gs pos="50000">
                            <a:srgbClr val="70AD47"/>
                          </a:gs>
                          <a:gs pos="100000">
                            <a:srgbClr val="A8D08D"/>
                          </a:gs>
                        </a:gsLst>
                        <a:lin ang="5400000" scaled="1"/>
                      </a:gradFill>
                      <a:ln w="12700">
                        <a:solidFill>
                          <a:srgbClr val="70AD47"/>
                        </a:solidFill>
                        <a:miter lim="800000"/>
                        <a:headEnd/>
                        <a:tailEnd/>
                      </a:ln>
                      <a:effectLst>
                        <a:outerShdw dist="28398" dir="3806097" algn="ctr" rotWithShape="0">
                          <a:srgbClr val="375623"/>
                        </a:outerShdw>
                      </a:effectLst>
                    </wps:spPr>
                    <wps:bodyPr rot="0" vert="horz" wrap="square" lIns="91440" tIns="45720" rIns="91440" bIns="45720" anchor="t" anchorCtr="0" upright="1">
                      <a:noAutofit/>
                    </wps:bodyPr>
                  </wps:wsp>
                </a:graphicData>
              </a:graphic>
            </wp:inline>
          </w:drawing>
        </mc:Choice>
        <mc:Fallback>
          <w:pict>
            <v:shapetype w14:anchorId="5348729F" id="_x0000_t110" coordsize="21600,21600" o:spt="110" path="m10800,l,10800,10800,21600,21600,10800xe">
              <v:stroke joinstyle="miter"/>
              <v:path gradientshapeok="t" o:connecttype="rect" textboxrect="5400,5400,16200,16200"/>
            </v:shapetype>
            <v:shape id="AutoShape 2"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" fillcolor="#a8d08d" strokecolor="#70ad47" strokeweight="1pt">
              <v:fill color2="#70ad47" focus="50%" type="gradient"/>
              <v:shadow on="t" color="#375623" offset="1pt"/>
              <w10:anchorlock/>
            </v:shape>
          </w:pict>
        </mc:Fallback>
      </mc:AlternateContent>
    </w:r>
  </w:p>
  <w:p w:rsidR="008E5B2E" w:rsidRPr="00704843" w:rsidRDefault="008E5B2E">
    <w:pPr>
      <w:pStyle w:val="Noga0"/>
      <w:jc w:val="center"/>
      <w:rPr>
        <w:rFonts w:ascii="Trebuchet MS" w:hAnsi="Trebuchet MS"/>
      </w:rPr>
    </w:pPr>
    <w:r w:rsidRPr="00704843">
      <w:rPr>
        <w:rFonts w:ascii="Trebuchet MS" w:hAnsi="Trebuchet MS"/>
      </w:rPr>
      <w:fldChar w:fldCharType="begin"/>
    </w:r>
    <w:r w:rsidRPr="00704843">
      <w:rPr>
        <w:rFonts w:ascii="Trebuchet MS" w:hAnsi="Trebuchet MS"/>
      </w:rPr>
      <w:instrText>PAGE    \* MERGEFORMAT</w:instrText>
    </w:r>
    <w:r w:rsidRPr="00704843">
      <w:rPr>
        <w:rFonts w:ascii="Trebuchet MS" w:hAnsi="Trebuchet MS"/>
      </w:rPr>
      <w:fldChar w:fldCharType="separate"/>
    </w:r>
    <w:r w:rsidR="00664BAD">
      <w:rPr>
        <w:rFonts w:ascii="Trebuchet MS" w:hAnsi="Trebuchet MS"/>
        <w:noProof/>
      </w:rPr>
      <w:t>27</w:t>
    </w:r>
    <w:r w:rsidRPr="00704843">
      <w:rPr>
        <w:rFonts w:ascii="Trebuchet MS" w:hAnsi="Trebuchet MS"/>
      </w:rPr>
      <w:fldChar w:fldCharType="end"/>
    </w:r>
  </w:p>
  <w:p w:rsidR="008E5B2E" w:rsidRDefault="008E5B2E">
    <w:pPr>
      <w:pStyle w:val="Noga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5CFD" w:rsidRDefault="00775CFD">
      <w:r>
        <w:separator/>
      </w:r>
    </w:p>
  </w:footnote>
  <w:footnote w:type="continuationSeparator" w:id="0">
    <w:p w:rsidR="00775CFD" w:rsidRDefault="00775CF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37DC7226"/>
    <w:lvl w:ilvl="0">
      <w:numFmt w:val="bullet"/>
      <w:lvlText w:val="*"/>
      <w:lvlJc w:val="left"/>
    </w:lvl>
  </w:abstractNum>
  <w:abstractNum w:abstractNumId="1" w15:restartNumberingAfterBreak="0">
    <w:nsid w:val="0049191F"/>
    <w:multiLevelType w:val="hybridMultilevel"/>
    <w:tmpl w:val="04ACB284"/>
    <w:lvl w:ilvl="0" w:tplc="E0BAE480">
      <w:start w:val="1"/>
      <w:numFmt w:val="bullet"/>
      <w:lvlText w:val=""/>
      <w:lvlJc w:val="left"/>
      <w:pPr>
        <w:tabs>
          <w:tab w:val="num" w:pos="720"/>
        </w:tabs>
        <w:ind w:left="720" w:hanging="360"/>
      </w:pPr>
      <w:rPr>
        <w:rFonts w:ascii="Wingdings" w:hAnsi="Wingdings" w:hint="default"/>
      </w:rPr>
    </w:lvl>
    <w:lvl w:ilvl="1" w:tplc="8E96869E" w:tentative="1">
      <w:start w:val="1"/>
      <w:numFmt w:val="bullet"/>
      <w:lvlText w:val=""/>
      <w:lvlJc w:val="left"/>
      <w:pPr>
        <w:tabs>
          <w:tab w:val="num" w:pos="1440"/>
        </w:tabs>
        <w:ind w:left="1440" w:hanging="360"/>
      </w:pPr>
      <w:rPr>
        <w:rFonts w:ascii="Wingdings" w:hAnsi="Wingdings" w:hint="default"/>
      </w:rPr>
    </w:lvl>
    <w:lvl w:ilvl="2" w:tplc="D41E0C0E" w:tentative="1">
      <w:start w:val="1"/>
      <w:numFmt w:val="bullet"/>
      <w:lvlText w:val=""/>
      <w:lvlJc w:val="left"/>
      <w:pPr>
        <w:tabs>
          <w:tab w:val="num" w:pos="2160"/>
        </w:tabs>
        <w:ind w:left="2160" w:hanging="360"/>
      </w:pPr>
      <w:rPr>
        <w:rFonts w:ascii="Wingdings" w:hAnsi="Wingdings" w:hint="default"/>
      </w:rPr>
    </w:lvl>
    <w:lvl w:ilvl="3" w:tplc="C2C47134" w:tentative="1">
      <w:start w:val="1"/>
      <w:numFmt w:val="bullet"/>
      <w:lvlText w:val=""/>
      <w:lvlJc w:val="left"/>
      <w:pPr>
        <w:tabs>
          <w:tab w:val="num" w:pos="2880"/>
        </w:tabs>
        <w:ind w:left="2880" w:hanging="360"/>
      </w:pPr>
      <w:rPr>
        <w:rFonts w:ascii="Wingdings" w:hAnsi="Wingdings" w:hint="default"/>
      </w:rPr>
    </w:lvl>
    <w:lvl w:ilvl="4" w:tplc="6C7A0A36" w:tentative="1">
      <w:start w:val="1"/>
      <w:numFmt w:val="bullet"/>
      <w:lvlText w:val=""/>
      <w:lvlJc w:val="left"/>
      <w:pPr>
        <w:tabs>
          <w:tab w:val="num" w:pos="3600"/>
        </w:tabs>
        <w:ind w:left="3600" w:hanging="360"/>
      </w:pPr>
      <w:rPr>
        <w:rFonts w:ascii="Wingdings" w:hAnsi="Wingdings" w:hint="default"/>
      </w:rPr>
    </w:lvl>
    <w:lvl w:ilvl="5" w:tplc="0354FD0C" w:tentative="1">
      <w:start w:val="1"/>
      <w:numFmt w:val="bullet"/>
      <w:lvlText w:val=""/>
      <w:lvlJc w:val="left"/>
      <w:pPr>
        <w:tabs>
          <w:tab w:val="num" w:pos="4320"/>
        </w:tabs>
        <w:ind w:left="4320" w:hanging="360"/>
      </w:pPr>
      <w:rPr>
        <w:rFonts w:ascii="Wingdings" w:hAnsi="Wingdings" w:hint="default"/>
      </w:rPr>
    </w:lvl>
    <w:lvl w:ilvl="6" w:tplc="450678B6" w:tentative="1">
      <w:start w:val="1"/>
      <w:numFmt w:val="bullet"/>
      <w:lvlText w:val=""/>
      <w:lvlJc w:val="left"/>
      <w:pPr>
        <w:tabs>
          <w:tab w:val="num" w:pos="5040"/>
        </w:tabs>
        <w:ind w:left="5040" w:hanging="360"/>
      </w:pPr>
      <w:rPr>
        <w:rFonts w:ascii="Wingdings" w:hAnsi="Wingdings" w:hint="default"/>
      </w:rPr>
    </w:lvl>
    <w:lvl w:ilvl="7" w:tplc="7616A72A" w:tentative="1">
      <w:start w:val="1"/>
      <w:numFmt w:val="bullet"/>
      <w:lvlText w:val=""/>
      <w:lvlJc w:val="left"/>
      <w:pPr>
        <w:tabs>
          <w:tab w:val="num" w:pos="5760"/>
        </w:tabs>
        <w:ind w:left="5760" w:hanging="360"/>
      </w:pPr>
      <w:rPr>
        <w:rFonts w:ascii="Wingdings" w:hAnsi="Wingdings" w:hint="default"/>
      </w:rPr>
    </w:lvl>
    <w:lvl w:ilvl="8" w:tplc="806AEC6C"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5F3C30"/>
    <w:multiLevelType w:val="multilevel"/>
    <w:tmpl w:val="A0A8E8C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5706B8"/>
    <w:multiLevelType w:val="hybridMultilevel"/>
    <w:tmpl w:val="EE585416"/>
    <w:lvl w:ilvl="0" w:tplc="47107CE0">
      <w:start w:val="1"/>
      <w:numFmt w:val="decimal"/>
      <w:lvlText w:val="%1"/>
      <w:lvlJc w:val="left"/>
      <w:pPr>
        <w:tabs>
          <w:tab w:val="num" w:pos="720"/>
        </w:tabs>
        <w:ind w:left="720" w:hanging="360"/>
      </w:pPr>
      <w:rPr>
        <w:rFonts w:hint="default"/>
        <w:vertAlign w:val="superscrip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15:restartNumberingAfterBreak="0">
    <w:nsid w:val="138E7395"/>
    <w:multiLevelType w:val="hybridMultilevel"/>
    <w:tmpl w:val="F60E358E"/>
    <w:lvl w:ilvl="0" w:tplc="D138D4CA">
      <w:start w:val="480"/>
      <w:numFmt w:val="bullet"/>
      <w:lvlText w:val="-"/>
      <w:lvlJc w:val="left"/>
      <w:pPr>
        <w:tabs>
          <w:tab w:val="num" w:pos="1080"/>
        </w:tabs>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5" w15:restartNumberingAfterBreak="0">
    <w:nsid w:val="15F766CF"/>
    <w:multiLevelType w:val="hybridMultilevel"/>
    <w:tmpl w:val="A086E0CA"/>
    <w:lvl w:ilvl="0" w:tplc="A108383A">
      <w:start w:val="1000"/>
      <w:numFmt w:val="bullet"/>
      <w:lvlText w:val="-"/>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CCD29CA"/>
    <w:multiLevelType w:val="hybridMultilevel"/>
    <w:tmpl w:val="83EA182C"/>
    <w:lvl w:ilvl="0" w:tplc="23409FB6">
      <w:start w:val="13"/>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DDD41F6"/>
    <w:multiLevelType w:val="hybridMultilevel"/>
    <w:tmpl w:val="6EA88940"/>
    <w:lvl w:ilvl="0" w:tplc="06FA10B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30317D37"/>
    <w:multiLevelType w:val="hybridMultilevel"/>
    <w:tmpl w:val="FFC498D2"/>
    <w:lvl w:ilvl="0" w:tplc="F5DEE76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548434E"/>
    <w:multiLevelType w:val="hybridMultilevel"/>
    <w:tmpl w:val="BD6E94A8"/>
    <w:lvl w:ilvl="0" w:tplc="2C66942A">
      <w:start w:val="13"/>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38BD6AD0"/>
    <w:multiLevelType w:val="hybridMultilevel"/>
    <w:tmpl w:val="C310E9AC"/>
    <w:lvl w:ilvl="0" w:tplc="ABF2006A">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42544952"/>
    <w:multiLevelType w:val="hybridMultilevel"/>
    <w:tmpl w:val="5ACCDC6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43AC7058"/>
    <w:multiLevelType w:val="hybridMultilevel"/>
    <w:tmpl w:val="79E2611E"/>
    <w:lvl w:ilvl="0" w:tplc="2202ED9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48AB0344"/>
    <w:multiLevelType w:val="hybridMultilevel"/>
    <w:tmpl w:val="076E7212"/>
    <w:lvl w:ilvl="0" w:tplc="D024995C">
      <w:start w:val="13"/>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0936C6D"/>
    <w:multiLevelType w:val="hybridMultilevel"/>
    <w:tmpl w:val="21FE7B46"/>
    <w:lvl w:ilvl="0" w:tplc="ABF2006A">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81A17DA"/>
    <w:multiLevelType w:val="hybridMultilevel"/>
    <w:tmpl w:val="457E3DE2"/>
    <w:lvl w:ilvl="0" w:tplc="F7029BE0">
      <w:start w:val="1"/>
      <w:numFmt w:val="bullet"/>
      <w:lvlText w:val="-"/>
      <w:lvlJc w:val="left"/>
      <w:pPr>
        <w:ind w:left="720" w:hanging="360"/>
      </w:pPr>
      <w:rPr>
        <w:rFonts w:ascii="Times New Roman" w:eastAsia="Times New Roman" w:hAnsi="Times New Roman" w:cs="Times New Roman" w:hint="default"/>
        <w:sz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5B661D54"/>
    <w:multiLevelType w:val="hybridMultilevel"/>
    <w:tmpl w:val="A4AE179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5BDC635A"/>
    <w:multiLevelType w:val="hybridMultilevel"/>
    <w:tmpl w:val="8278D422"/>
    <w:lvl w:ilvl="0" w:tplc="EE48D53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60B84ACE"/>
    <w:multiLevelType w:val="hybridMultilevel"/>
    <w:tmpl w:val="EA1E0210"/>
    <w:lvl w:ilvl="0" w:tplc="BF8AA8A2">
      <w:start w:val="1"/>
      <w:numFmt w:val="decimal"/>
      <w:lvlText w:val="%1."/>
      <w:lvlJc w:val="left"/>
      <w:pPr>
        <w:tabs>
          <w:tab w:val="num" w:pos="1158"/>
        </w:tabs>
        <w:ind w:left="1158" w:hanging="450"/>
      </w:pPr>
      <w:rPr>
        <w:rFonts w:hint="default"/>
      </w:rPr>
    </w:lvl>
    <w:lvl w:ilvl="1" w:tplc="04240019" w:tentative="1">
      <w:start w:val="1"/>
      <w:numFmt w:val="lowerLetter"/>
      <w:lvlText w:val="%2."/>
      <w:lvlJc w:val="left"/>
      <w:pPr>
        <w:tabs>
          <w:tab w:val="num" w:pos="1788"/>
        </w:tabs>
        <w:ind w:left="1788" w:hanging="360"/>
      </w:pPr>
    </w:lvl>
    <w:lvl w:ilvl="2" w:tplc="0424001B" w:tentative="1">
      <w:start w:val="1"/>
      <w:numFmt w:val="lowerRoman"/>
      <w:lvlText w:val="%3."/>
      <w:lvlJc w:val="right"/>
      <w:pPr>
        <w:tabs>
          <w:tab w:val="num" w:pos="2508"/>
        </w:tabs>
        <w:ind w:left="2508" w:hanging="180"/>
      </w:pPr>
    </w:lvl>
    <w:lvl w:ilvl="3" w:tplc="0424000F" w:tentative="1">
      <w:start w:val="1"/>
      <w:numFmt w:val="decimal"/>
      <w:lvlText w:val="%4."/>
      <w:lvlJc w:val="left"/>
      <w:pPr>
        <w:tabs>
          <w:tab w:val="num" w:pos="3228"/>
        </w:tabs>
        <w:ind w:left="3228" w:hanging="360"/>
      </w:pPr>
    </w:lvl>
    <w:lvl w:ilvl="4" w:tplc="04240019" w:tentative="1">
      <w:start w:val="1"/>
      <w:numFmt w:val="lowerLetter"/>
      <w:lvlText w:val="%5."/>
      <w:lvlJc w:val="left"/>
      <w:pPr>
        <w:tabs>
          <w:tab w:val="num" w:pos="3948"/>
        </w:tabs>
        <w:ind w:left="3948" w:hanging="360"/>
      </w:pPr>
    </w:lvl>
    <w:lvl w:ilvl="5" w:tplc="0424001B" w:tentative="1">
      <w:start w:val="1"/>
      <w:numFmt w:val="lowerRoman"/>
      <w:lvlText w:val="%6."/>
      <w:lvlJc w:val="right"/>
      <w:pPr>
        <w:tabs>
          <w:tab w:val="num" w:pos="4668"/>
        </w:tabs>
        <w:ind w:left="4668" w:hanging="180"/>
      </w:pPr>
    </w:lvl>
    <w:lvl w:ilvl="6" w:tplc="0424000F" w:tentative="1">
      <w:start w:val="1"/>
      <w:numFmt w:val="decimal"/>
      <w:lvlText w:val="%7."/>
      <w:lvlJc w:val="left"/>
      <w:pPr>
        <w:tabs>
          <w:tab w:val="num" w:pos="5388"/>
        </w:tabs>
        <w:ind w:left="5388" w:hanging="360"/>
      </w:pPr>
    </w:lvl>
    <w:lvl w:ilvl="7" w:tplc="04240019" w:tentative="1">
      <w:start w:val="1"/>
      <w:numFmt w:val="lowerLetter"/>
      <w:lvlText w:val="%8."/>
      <w:lvlJc w:val="left"/>
      <w:pPr>
        <w:tabs>
          <w:tab w:val="num" w:pos="6108"/>
        </w:tabs>
        <w:ind w:left="6108" w:hanging="360"/>
      </w:pPr>
    </w:lvl>
    <w:lvl w:ilvl="8" w:tplc="0424001B" w:tentative="1">
      <w:start w:val="1"/>
      <w:numFmt w:val="lowerRoman"/>
      <w:lvlText w:val="%9."/>
      <w:lvlJc w:val="right"/>
      <w:pPr>
        <w:tabs>
          <w:tab w:val="num" w:pos="6828"/>
        </w:tabs>
        <w:ind w:left="6828" w:hanging="180"/>
      </w:pPr>
    </w:lvl>
  </w:abstractNum>
  <w:abstractNum w:abstractNumId="19" w15:restartNumberingAfterBreak="0">
    <w:nsid w:val="6E78335D"/>
    <w:multiLevelType w:val="hybridMultilevel"/>
    <w:tmpl w:val="49F49BD4"/>
    <w:lvl w:ilvl="0" w:tplc="04240015">
      <w:start w:val="1"/>
      <w:numFmt w:val="upp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712914FB"/>
    <w:multiLevelType w:val="hybridMultilevel"/>
    <w:tmpl w:val="E454284E"/>
    <w:lvl w:ilvl="0" w:tplc="A648C340">
      <w:start w:val="10"/>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757A1448"/>
    <w:multiLevelType w:val="multilevel"/>
    <w:tmpl w:val="823A6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76D5BF5"/>
    <w:multiLevelType w:val="hybridMultilevel"/>
    <w:tmpl w:val="120830D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799C2877"/>
    <w:multiLevelType w:val="hybridMultilevel"/>
    <w:tmpl w:val="459E5416"/>
    <w:lvl w:ilvl="0" w:tplc="F530C4FA">
      <w:numFmt w:val="bullet"/>
      <w:lvlText w:val="-"/>
      <w:lvlJc w:val="left"/>
      <w:pPr>
        <w:ind w:left="720" w:hanging="360"/>
      </w:pPr>
      <w:rPr>
        <w:rFonts w:ascii="Calibri" w:eastAsia="Times New Roman" w:hAnsi="Calibri" w:cs="Calibri" w:hint="default"/>
        <w:b/>
        <w:i/>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7ABA7FF3"/>
    <w:multiLevelType w:val="hybridMultilevel"/>
    <w:tmpl w:val="8B884CC0"/>
    <w:lvl w:ilvl="0" w:tplc="C908E82C">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B2342C7"/>
    <w:multiLevelType w:val="hybridMultilevel"/>
    <w:tmpl w:val="18840830"/>
    <w:lvl w:ilvl="0" w:tplc="B478F480">
      <w:start w:val="1"/>
      <w:numFmt w:val="bullet"/>
      <w:lvlText w:val="-"/>
      <w:lvlJc w:val="left"/>
      <w:pPr>
        <w:tabs>
          <w:tab w:val="num" w:pos="1421"/>
        </w:tabs>
        <w:ind w:left="1421" w:hanging="624"/>
      </w:pPr>
      <w:rPr>
        <w:rFonts w:ascii="Courier New" w:hAnsi="Courier New" w:hint="default"/>
      </w:rPr>
    </w:lvl>
    <w:lvl w:ilvl="1" w:tplc="04240003" w:tentative="1">
      <w:start w:val="1"/>
      <w:numFmt w:val="bullet"/>
      <w:lvlText w:val="o"/>
      <w:lvlJc w:val="left"/>
      <w:pPr>
        <w:tabs>
          <w:tab w:val="num" w:pos="1500"/>
        </w:tabs>
        <w:ind w:left="1500" w:hanging="360"/>
      </w:pPr>
      <w:rPr>
        <w:rFonts w:ascii="Courier New" w:hAnsi="Courier New" w:cs="Courier New" w:hint="default"/>
      </w:rPr>
    </w:lvl>
    <w:lvl w:ilvl="2" w:tplc="04240005" w:tentative="1">
      <w:start w:val="1"/>
      <w:numFmt w:val="bullet"/>
      <w:lvlText w:val=""/>
      <w:lvlJc w:val="left"/>
      <w:pPr>
        <w:tabs>
          <w:tab w:val="num" w:pos="2220"/>
        </w:tabs>
        <w:ind w:left="2220" w:hanging="360"/>
      </w:pPr>
      <w:rPr>
        <w:rFonts w:ascii="Wingdings" w:hAnsi="Wingdings" w:hint="default"/>
      </w:rPr>
    </w:lvl>
    <w:lvl w:ilvl="3" w:tplc="04240001" w:tentative="1">
      <w:start w:val="1"/>
      <w:numFmt w:val="bullet"/>
      <w:lvlText w:val=""/>
      <w:lvlJc w:val="left"/>
      <w:pPr>
        <w:tabs>
          <w:tab w:val="num" w:pos="2940"/>
        </w:tabs>
        <w:ind w:left="2940" w:hanging="360"/>
      </w:pPr>
      <w:rPr>
        <w:rFonts w:ascii="Symbol" w:hAnsi="Symbol" w:hint="default"/>
      </w:rPr>
    </w:lvl>
    <w:lvl w:ilvl="4" w:tplc="04240003" w:tentative="1">
      <w:start w:val="1"/>
      <w:numFmt w:val="bullet"/>
      <w:lvlText w:val="o"/>
      <w:lvlJc w:val="left"/>
      <w:pPr>
        <w:tabs>
          <w:tab w:val="num" w:pos="3660"/>
        </w:tabs>
        <w:ind w:left="3660" w:hanging="360"/>
      </w:pPr>
      <w:rPr>
        <w:rFonts w:ascii="Courier New" w:hAnsi="Courier New" w:cs="Courier New" w:hint="default"/>
      </w:rPr>
    </w:lvl>
    <w:lvl w:ilvl="5" w:tplc="04240005" w:tentative="1">
      <w:start w:val="1"/>
      <w:numFmt w:val="bullet"/>
      <w:lvlText w:val=""/>
      <w:lvlJc w:val="left"/>
      <w:pPr>
        <w:tabs>
          <w:tab w:val="num" w:pos="4380"/>
        </w:tabs>
        <w:ind w:left="4380" w:hanging="360"/>
      </w:pPr>
      <w:rPr>
        <w:rFonts w:ascii="Wingdings" w:hAnsi="Wingdings" w:hint="default"/>
      </w:rPr>
    </w:lvl>
    <w:lvl w:ilvl="6" w:tplc="04240001" w:tentative="1">
      <w:start w:val="1"/>
      <w:numFmt w:val="bullet"/>
      <w:lvlText w:val=""/>
      <w:lvlJc w:val="left"/>
      <w:pPr>
        <w:tabs>
          <w:tab w:val="num" w:pos="5100"/>
        </w:tabs>
        <w:ind w:left="5100" w:hanging="360"/>
      </w:pPr>
      <w:rPr>
        <w:rFonts w:ascii="Symbol" w:hAnsi="Symbol" w:hint="default"/>
      </w:rPr>
    </w:lvl>
    <w:lvl w:ilvl="7" w:tplc="04240003" w:tentative="1">
      <w:start w:val="1"/>
      <w:numFmt w:val="bullet"/>
      <w:lvlText w:val="o"/>
      <w:lvlJc w:val="left"/>
      <w:pPr>
        <w:tabs>
          <w:tab w:val="num" w:pos="5820"/>
        </w:tabs>
        <w:ind w:left="5820" w:hanging="360"/>
      </w:pPr>
      <w:rPr>
        <w:rFonts w:ascii="Courier New" w:hAnsi="Courier New" w:cs="Courier New" w:hint="default"/>
      </w:rPr>
    </w:lvl>
    <w:lvl w:ilvl="8" w:tplc="04240005" w:tentative="1">
      <w:start w:val="1"/>
      <w:numFmt w:val="bullet"/>
      <w:lvlText w:val=""/>
      <w:lvlJc w:val="left"/>
      <w:pPr>
        <w:tabs>
          <w:tab w:val="num" w:pos="6540"/>
        </w:tabs>
        <w:ind w:left="6540" w:hanging="360"/>
      </w:pPr>
      <w:rPr>
        <w:rFonts w:ascii="Wingdings" w:hAnsi="Wingdings" w:hint="default"/>
      </w:rPr>
    </w:lvl>
  </w:abstractNum>
  <w:abstractNum w:abstractNumId="26" w15:restartNumberingAfterBreak="0">
    <w:nsid w:val="7E4D116C"/>
    <w:multiLevelType w:val="hybridMultilevel"/>
    <w:tmpl w:val="F2601102"/>
    <w:lvl w:ilvl="0" w:tplc="F2DC8246">
      <w:start w:val="1"/>
      <w:numFmt w:val="lowerLetter"/>
      <w:lvlText w:val="%1)"/>
      <w:lvlJc w:val="left"/>
      <w:pPr>
        <w:ind w:left="1440" w:hanging="360"/>
      </w:pPr>
      <w:rPr>
        <w:rFonts w:ascii="Arial" w:eastAsia="Times New Roman" w:hAnsi="Arial" w:cs="Times New Roman"/>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27" w15:restartNumberingAfterBreak="0">
    <w:nsid w:val="7EC76ED0"/>
    <w:multiLevelType w:val="hybridMultilevel"/>
    <w:tmpl w:val="F0B4EC6E"/>
    <w:lvl w:ilvl="0" w:tplc="D138D4CA">
      <w:start w:val="480"/>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abstractNumId w:val="24"/>
  </w:num>
  <w:num w:numId="3">
    <w:abstractNumId w:val="25"/>
  </w:num>
  <w:num w:numId="4">
    <w:abstractNumId w:val="8"/>
  </w:num>
  <w:num w:numId="5">
    <w:abstractNumId w:val="13"/>
  </w:num>
  <w:num w:numId="6">
    <w:abstractNumId w:val="3"/>
  </w:num>
  <w:num w:numId="7">
    <w:abstractNumId w:val="20"/>
  </w:num>
  <w:num w:numId="8">
    <w:abstractNumId w:val="27"/>
  </w:num>
  <w:num w:numId="9">
    <w:abstractNumId w:val="4"/>
  </w:num>
  <w:num w:numId="10">
    <w:abstractNumId w:val="12"/>
  </w:num>
  <w:num w:numId="11">
    <w:abstractNumId w:val="17"/>
  </w:num>
  <w:num w:numId="12">
    <w:abstractNumId w:val="5"/>
  </w:num>
  <w:num w:numId="13">
    <w:abstractNumId w:val="18"/>
  </w:num>
  <w:num w:numId="14">
    <w:abstractNumId w:val="6"/>
  </w:num>
  <w:num w:numId="15">
    <w:abstractNumId w:val="14"/>
  </w:num>
  <w:num w:numId="16">
    <w:abstractNumId w:val="10"/>
  </w:num>
  <w:num w:numId="17">
    <w:abstractNumId w:val="11"/>
  </w:num>
  <w:num w:numId="18">
    <w:abstractNumId w:val="15"/>
  </w:num>
  <w:num w:numId="19">
    <w:abstractNumId w:val="21"/>
  </w:num>
  <w:num w:numId="20">
    <w:abstractNumId w:val="9"/>
  </w:num>
  <w:num w:numId="21">
    <w:abstractNumId w:val="7"/>
  </w:num>
  <w:num w:numId="22">
    <w:abstractNumId w:val="26"/>
  </w:num>
  <w:num w:numId="23">
    <w:abstractNumId w:val="2"/>
  </w:num>
  <w:num w:numId="24">
    <w:abstractNumId w:val="1"/>
  </w:num>
  <w:num w:numId="25">
    <w:abstractNumId w:val="19"/>
  </w:num>
  <w:num w:numId="26">
    <w:abstractNumId w:val="16"/>
  </w:num>
  <w:num w:numId="27">
    <w:abstractNumId w:val="23"/>
  </w:num>
  <w:num w:numId="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characterSpacingControl w:val="doNotCompress"/>
  <w:hdrShapeDefaults>
    <o:shapedefaults v:ext="edit" spidmax="2049"/>
  </w:hdrShapeDefaults>
  <w:footnotePr>
    <w:footnote w:id="-1"/>
    <w:footnote w:id="0"/>
  </w:footnotePr>
  <w:endnotePr>
    <w:numFmt w:val="decimal"/>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3F7"/>
    <w:rsid w:val="0000458F"/>
    <w:rsid w:val="00004595"/>
    <w:rsid w:val="0000480D"/>
    <w:rsid w:val="00014CD7"/>
    <w:rsid w:val="00026CB5"/>
    <w:rsid w:val="0002787D"/>
    <w:rsid w:val="000300A3"/>
    <w:rsid w:val="00032F23"/>
    <w:rsid w:val="000336BD"/>
    <w:rsid w:val="00034F3C"/>
    <w:rsid w:val="00046B04"/>
    <w:rsid w:val="0004748A"/>
    <w:rsid w:val="00053A19"/>
    <w:rsid w:val="00056FDF"/>
    <w:rsid w:val="0007152A"/>
    <w:rsid w:val="00071B2C"/>
    <w:rsid w:val="00076726"/>
    <w:rsid w:val="000801D3"/>
    <w:rsid w:val="00081B15"/>
    <w:rsid w:val="0008235B"/>
    <w:rsid w:val="0009464D"/>
    <w:rsid w:val="00096A90"/>
    <w:rsid w:val="00096D47"/>
    <w:rsid w:val="0009732D"/>
    <w:rsid w:val="000A5BE0"/>
    <w:rsid w:val="000A6093"/>
    <w:rsid w:val="000A7940"/>
    <w:rsid w:val="000B4DDD"/>
    <w:rsid w:val="000C471C"/>
    <w:rsid w:val="000D383B"/>
    <w:rsid w:val="000D4BAE"/>
    <w:rsid w:val="000D690A"/>
    <w:rsid w:val="000E06CF"/>
    <w:rsid w:val="000F1D2F"/>
    <w:rsid w:val="000F2AD5"/>
    <w:rsid w:val="000F5C92"/>
    <w:rsid w:val="001014C3"/>
    <w:rsid w:val="001024A8"/>
    <w:rsid w:val="00112F6F"/>
    <w:rsid w:val="00117241"/>
    <w:rsid w:val="00125D2A"/>
    <w:rsid w:val="00127562"/>
    <w:rsid w:val="00130BC4"/>
    <w:rsid w:val="001352B1"/>
    <w:rsid w:val="0013559D"/>
    <w:rsid w:val="00142113"/>
    <w:rsid w:val="00142DE7"/>
    <w:rsid w:val="001458D6"/>
    <w:rsid w:val="00146EBC"/>
    <w:rsid w:val="00151F38"/>
    <w:rsid w:val="00155AF6"/>
    <w:rsid w:val="00170CF1"/>
    <w:rsid w:val="00183670"/>
    <w:rsid w:val="001852CD"/>
    <w:rsid w:val="00190925"/>
    <w:rsid w:val="0019242A"/>
    <w:rsid w:val="001935F3"/>
    <w:rsid w:val="001944DB"/>
    <w:rsid w:val="00194A48"/>
    <w:rsid w:val="00197EAB"/>
    <w:rsid w:val="001A576E"/>
    <w:rsid w:val="001A60DC"/>
    <w:rsid w:val="001A7C8C"/>
    <w:rsid w:val="001B4BA6"/>
    <w:rsid w:val="001C1F0B"/>
    <w:rsid w:val="001C5C77"/>
    <w:rsid w:val="001D4179"/>
    <w:rsid w:val="001E631E"/>
    <w:rsid w:val="001F39CB"/>
    <w:rsid w:val="001F5A40"/>
    <w:rsid w:val="002048ED"/>
    <w:rsid w:val="00210552"/>
    <w:rsid w:val="0021710F"/>
    <w:rsid w:val="00245559"/>
    <w:rsid w:val="00246EE6"/>
    <w:rsid w:val="002548FF"/>
    <w:rsid w:val="00264082"/>
    <w:rsid w:val="00271A5C"/>
    <w:rsid w:val="00273A1D"/>
    <w:rsid w:val="002810D1"/>
    <w:rsid w:val="00290393"/>
    <w:rsid w:val="00290B3A"/>
    <w:rsid w:val="00291709"/>
    <w:rsid w:val="00297A21"/>
    <w:rsid w:val="002A3495"/>
    <w:rsid w:val="002A646B"/>
    <w:rsid w:val="002B1038"/>
    <w:rsid w:val="002B17C6"/>
    <w:rsid w:val="002B39FD"/>
    <w:rsid w:val="002B3B05"/>
    <w:rsid w:val="002E6417"/>
    <w:rsid w:val="002F5560"/>
    <w:rsid w:val="002F6414"/>
    <w:rsid w:val="002F6CC5"/>
    <w:rsid w:val="002F7E05"/>
    <w:rsid w:val="00300D6F"/>
    <w:rsid w:val="00302065"/>
    <w:rsid w:val="00320EF8"/>
    <w:rsid w:val="00323383"/>
    <w:rsid w:val="0034145B"/>
    <w:rsid w:val="003462D3"/>
    <w:rsid w:val="00354404"/>
    <w:rsid w:val="00363C3B"/>
    <w:rsid w:val="003757CD"/>
    <w:rsid w:val="00386814"/>
    <w:rsid w:val="003922C0"/>
    <w:rsid w:val="0039687A"/>
    <w:rsid w:val="003B09DB"/>
    <w:rsid w:val="003B4B9D"/>
    <w:rsid w:val="003C4891"/>
    <w:rsid w:val="003C5D4C"/>
    <w:rsid w:val="003D3422"/>
    <w:rsid w:val="003D42AF"/>
    <w:rsid w:val="003E04BD"/>
    <w:rsid w:val="003E45F8"/>
    <w:rsid w:val="003F0167"/>
    <w:rsid w:val="003F4881"/>
    <w:rsid w:val="003F60F7"/>
    <w:rsid w:val="00412C45"/>
    <w:rsid w:val="00421B65"/>
    <w:rsid w:val="00426FF0"/>
    <w:rsid w:val="004474DE"/>
    <w:rsid w:val="0045681C"/>
    <w:rsid w:val="00464298"/>
    <w:rsid w:val="00476079"/>
    <w:rsid w:val="00476AFA"/>
    <w:rsid w:val="0048690B"/>
    <w:rsid w:val="004909E5"/>
    <w:rsid w:val="00490FC8"/>
    <w:rsid w:val="004A1726"/>
    <w:rsid w:val="004A69E9"/>
    <w:rsid w:val="004B02C8"/>
    <w:rsid w:val="004B1224"/>
    <w:rsid w:val="004B306A"/>
    <w:rsid w:val="004C764A"/>
    <w:rsid w:val="004D0E8E"/>
    <w:rsid w:val="004D3F0A"/>
    <w:rsid w:val="004D70E2"/>
    <w:rsid w:val="004E2AAB"/>
    <w:rsid w:val="004E5FE2"/>
    <w:rsid w:val="00507BD0"/>
    <w:rsid w:val="00515C6E"/>
    <w:rsid w:val="0052197C"/>
    <w:rsid w:val="00530941"/>
    <w:rsid w:val="00534D4E"/>
    <w:rsid w:val="00534E5D"/>
    <w:rsid w:val="00537796"/>
    <w:rsid w:val="005429F9"/>
    <w:rsid w:val="005471CC"/>
    <w:rsid w:val="00550D39"/>
    <w:rsid w:val="0056353D"/>
    <w:rsid w:val="00581473"/>
    <w:rsid w:val="005818A2"/>
    <w:rsid w:val="00586D74"/>
    <w:rsid w:val="005914CC"/>
    <w:rsid w:val="00592D17"/>
    <w:rsid w:val="00597208"/>
    <w:rsid w:val="005A0F16"/>
    <w:rsid w:val="005A27EF"/>
    <w:rsid w:val="005B455C"/>
    <w:rsid w:val="005C3367"/>
    <w:rsid w:val="005C48A8"/>
    <w:rsid w:val="005D0975"/>
    <w:rsid w:val="005D202D"/>
    <w:rsid w:val="005D20A1"/>
    <w:rsid w:val="005D6313"/>
    <w:rsid w:val="005E51B3"/>
    <w:rsid w:val="005E5C75"/>
    <w:rsid w:val="005E799D"/>
    <w:rsid w:val="006039E1"/>
    <w:rsid w:val="0060625A"/>
    <w:rsid w:val="006077C8"/>
    <w:rsid w:val="006078A0"/>
    <w:rsid w:val="00633B8F"/>
    <w:rsid w:val="0064766E"/>
    <w:rsid w:val="0065606A"/>
    <w:rsid w:val="006573F3"/>
    <w:rsid w:val="00660558"/>
    <w:rsid w:val="00664BAD"/>
    <w:rsid w:val="00667A54"/>
    <w:rsid w:val="00674C5D"/>
    <w:rsid w:val="00681ADA"/>
    <w:rsid w:val="0068224D"/>
    <w:rsid w:val="00682D80"/>
    <w:rsid w:val="00683066"/>
    <w:rsid w:val="00684200"/>
    <w:rsid w:val="006874D5"/>
    <w:rsid w:val="00695B65"/>
    <w:rsid w:val="006A1A8C"/>
    <w:rsid w:val="006C32AB"/>
    <w:rsid w:val="006C7EAD"/>
    <w:rsid w:val="006D13F7"/>
    <w:rsid w:val="006D5308"/>
    <w:rsid w:val="006D6A2B"/>
    <w:rsid w:val="006D7F2E"/>
    <w:rsid w:val="006E1BC2"/>
    <w:rsid w:val="006E290E"/>
    <w:rsid w:val="006E4111"/>
    <w:rsid w:val="006F189B"/>
    <w:rsid w:val="006F23EA"/>
    <w:rsid w:val="007022A2"/>
    <w:rsid w:val="00703480"/>
    <w:rsid w:val="0070363E"/>
    <w:rsid w:val="00704843"/>
    <w:rsid w:val="00713E64"/>
    <w:rsid w:val="007156C5"/>
    <w:rsid w:val="00721BDA"/>
    <w:rsid w:val="00727A59"/>
    <w:rsid w:val="007434AF"/>
    <w:rsid w:val="00745530"/>
    <w:rsid w:val="007464AF"/>
    <w:rsid w:val="00751A8E"/>
    <w:rsid w:val="007537ED"/>
    <w:rsid w:val="007573CF"/>
    <w:rsid w:val="0076174F"/>
    <w:rsid w:val="00763FA6"/>
    <w:rsid w:val="007649F8"/>
    <w:rsid w:val="007712D7"/>
    <w:rsid w:val="0077234B"/>
    <w:rsid w:val="007742E8"/>
    <w:rsid w:val="007755EF"/>
    <w:rsid w:val="00775CFD"/>
    <w:rsid w:val="007817C0"/>
    <w:rsid w:val="007872A7"/>
    <w:rsid w:val="0079032D"/>
    <w:rsid w:val="0079672E"/>
    <w:rsid w:val="007A09EA"/>
    <w:rsid w:val="007C0751"/>
    <w:rsid w:val="007C31A1"/>
    <w:rsid w:val="007C4DA0"/>
    <w:rsid w:val="007D5DFF"/>
    <w:rsid w:val="007D7C3B"/>
    <w:rsid w:val="007E6B06"/>
    <w:rsid w:val="007F2763"/>
    <w:rsid w:val="007F44FD"/>
    <w:rsid w:val="0080053A"/>
    <w:rsid w:val="00801750"/>
    <w:rsid w:val="00805243"/>
    <w:rsid w:val="00813C03"/>
    <w:rsid w:val="008374E6"/>
    <w:rsid w:val="008376ED"/>
    <w:rsid w:val="00840D06"/>
    <w:rsid w:val="00841CB4"/>
    <w:rsid w:val="008479D2"/>
    <w:rsid w:val="00850ADE"/>
    <w:rsid w:val="0085780C"/>
    <w:rsid w:val="00863ECC"/>
    <w:rsid w:val="00866299"/>
    <w:rsid w:val="0086785D"/>
    <w:rsid w:val="00874204"/>
    <w:rsid w:val="008845ED"/>
    <w:rsid w:val="00891F4A"/>
    <w:rsid w:val="0089264F"/>
    <w:rsid w:val="00892748"/>
    <w:rsid w:val="00893A4C"/>
    <w:rsid w:val="008A0059"/>
    <w:rsid w:val="008A0585"/>
    <w:rsid w:val="008B0791"/>
    <w:rsid w:val="008B21D9"/>
    <w:rsid w:val="008B2474"/>
    <w:rsid w:val="008B6784"/>
    <w:rsid w:val="008C0FB3"/>
    <w:rsid w:val="008C4CB2"/>
    <w:rsid w:val="008D0D74"/>
    <w:rsid w:val="008E5B2E"/>
    <w:rsid w:val="008E7D0B"/>
    <w:rsid w:val="008F57C6"/>
    <w:rsid w:val="008F7680"/>
    <w:rsid w:val="00901FBC"/>
    <w:rsid w:val="0090578B"/>
    <w:rsid w:val="009061C4"/>
    <w:rsid w:val="00916C52"/>
    <w:rsid w:val="00923E81"/>
    <w:rsid w:val="00925098"/>
    <w:rsid w:val="00927C23"/>
    <w:rsid w:val="0093301E"/>
    <w:rsid w:val="00935CCA"/>
    <w:rsid w:val="00940A0E"/>
    <w:rsid w:val="00952AE5"/>
    <w:rsid w:val="009565C4"/>
    <w:rsid w:val="00962EF9"/>
    <w:rsid w:val="0096514D"/>
    <w:rsid w:val="0096696F"/>
    <w:rsid w:val="00966F04"/>
    <w:rsid w:val="009728AC"/>
    <w:rsid w:val="00972BD6"/>
    <w:rsid w:val="009A11CD"/>
    <w:rsid w:val="009C12E1"/>
    <w:rsid w:val="009C44A0"/>
    <w:rsid w:val="009C4905"/>
    <w:rsid w:val="009D021B"/>
    <w:rsid w:val="009D2C9F"/>
    <w:rsid w:val="009D2E77"/>
    <w:rsid w:val="009E0B38"/>
    <w:rsid w:val="00A3533F"/>
    <w:rsid w:val="00A37EB7"/>
    <w:rsid w:val="00A41A9E"/>
    <w:rsid w:val="00A43291"/>
    <w:rsid w:val="00A504ED"/>
    <w:rsid w:val="00A53449"/>
    <w:rsid w:val="00A57047"/>
    <w:rsid w:val="00A575D9"/>
    <w:rsid w:val="00A734E7"/>
    <w:rsid w:val="00A81D4F"/>
    <w:rsid w:val="00A86440"/>
    <w:rsid w:val="00A864EA"/>
    <w:rsid w:val="00A87AA3"/>
    <w:rsid w:val="00A91729"/>
    <w:rsid w:val="00A9173F"/>
    <w:rsid w:val="00AA0A81"/>
    <w:rsid w:val="00AA55C1"/>
    <w:rsid w:val="00AA7193"/>
    <w:rsid w:val="00AB3C0C"/>
    <w:rsid w:val="00AC03BB"/>
    <w:rsid w:val="00AC318B"/>
    <w:rsid w:val="00AC377C"/>
    <w:rsid w:val="00AD4AB5"/>
    <w:rsid w:val="00AE09E9"/>
    <w:rsid w:val="00AF23C0"/>
    <w:rsid w:val="00AF582D"/>
    <w:rsid w:val="00B07CF7"/>
    <w:rsid w:val="00B10621"/>
    <w:rsid w:val="00B1321D"/>
    <w:rsid w:val="00B1637B"/>
    <w:rsid w:val="00B21186"/>
    <w:rsid w:val="00B232B9"/>
    <w:rsid w:val="00B257AE"/>
    <w:rsid w:val="00B37702"/>
    <w:rsid w:val="00B42AD7"/>
    <w:rsid w:val="00B440FD"/>
    <w:rsid w:val="00B44E49"/>
    <w:rsid w:val="00B51CBF"/>
    <w:rsid w:val="00B52418"/>
    <w:rsid w:val="00B52622"/>
    <w:rsid w:val="00B53E8C"/>
    <w:rsid w:val="00B62BED"/>
    <w:rsid w:val="00B86DBA"/>
    <w:rsid w:val="00B86DC4"/>
    <w:rsid w:val="00BA005D"/>
    <w:rsid w:val="00BA00C2"/>
    <w:rsid w:val="00BA1174"/>
    <w:rsid w:val="00BA48AF"/>
    <w:rsid w:val="00BB0644"/>
    <w:rsid w:val="00BB5C0A"/>
    <w:rsid w:val="00BC10C7"/>
    <w:rsid w:val="00BC1955"/>
    <w:rsid w:val="00BC569E"/>
    <w:rsid w:val="00BC6319"/>
    <w:rsid w:val="00BC7F68"/>
    <w:rsid w:val="00BD07A6"/>
    <w:rsid w:val="00BD1843"/>
    <w:rsid w:val="00BD498B"/>
    <w:rsid w:val="00BF4048"/>
    <w:rsid w:val="00BF5445"/>
    <w:rsid w:val="00BF5827"/>
    <w:rsid w:val="00C010CF"/>
    <w:rsid w:val="00C024F9"/>
    <w:rsid w:val="00C11A98"/>
    <w:rsid w:val="00C13DFF"/>
    <w:rsid w:val="00C1645F"/>
    <w:rsid w:val="00C33E9A"/>
    <w:rsid w:val="00C40782"/>
    <w:rsid w:val="00C44840"/>
    <w:rsid w:val="00C44958"/>
    <w:rsid w:val="00C50713"/>
    <w:rsid w:val="00C57FD3"/>
    <w:rsid w:val="00C75371"/>
    <w:rsid w:val="00C75BA7"/>
    <w:rsid w:val="00C832B6"/>
    <w:rsid w:val="00C84092"/>
    <w:rsid w:val="00CA0786"/>
    <w:rsid w:val="00CB2F1A"/>
    <w:rsid w:val="00CC38B7"/>
    <w:rsid w:val="00CD45E9"/>
    <w:rsid w:val="00CE0879"/>
    <w:rsid w:val="00CE39CE"/>
    <w:rsid w:val="00CE74EB"/>
    <w:rsid w:val="00CF3D0A"/>
    <w:rsid w:val="00D00892"/>
    <w:rsid w:val="00D029DD"/>
    <w:rsid w:val="00D05435"/>
    <w:rsid w:val="00D147B6"/>
    <w:rsid w:val="00D1500E"/>
    <w:rsid w:val="00D20368"/>
    <w:rsid w:val="00D24D31"/>
    <w:rsid w:val="00D25BD2"/>
    <w:rsid w:val="00D357B8"/>
    <w:rsid w:val="00D366CB"/>
    <w:rsid w:val="00D4352D"/>
    <w:rsid w:val="00D54BAD"/>
    <w:rsid w:val="00D775BD"/>
    <w:rsid w:val="00D916E5"/>
    <w:rsid w:val="00D944A1"/>
    <w:rsid w:val="00D97EF9"/>
    <w:rsid w:val="00DA3997"/>
    <w:rsid w:val="00DA409E"/>
    <w:rsid w:val="00DB2246"/>
    <w:rsid w:val="00DB226C"/>
    <w:rsid w:val="00DB32BB"/>
    <w:rsid w:val="00DC2BB0"/>
    <w:rsid w:val="00DC42F9"/>
    <w:rsid w:val="00DD00D3"/>
    <w:rsid w:val="00DD5F6E"/>
    <w:rsid w:val="00DE4B3E"/>
    <w:rsid w:val="00DF1E1D"/>
    <w:rsid w:val="00DF3C5B"/>
    <w:rsid w:val="00DF574F"/>
    <w:rsid w:val="00E05525"/>
    <w:rsid w:val="00E107C3"/>
    <w:rsid w:val="00E151E1"/>
    <w:rsid w:val="00E157E8"/>
    <w:rsid w:val="00E20333"/>
    <w:rsid w:val="00E21763"/>
    <w:rsid w:val="00E24185"/>
    <w:rsid w:val="00E30172"/>
    <w:rsid w:val="00E33FC4"/>
    <w:rsid w:val="00E348AA"/>
    <w:rsid w:val="00E34EB5"/>
    <w:rsid w:val="00E36482"/>
    <w:rsid w:val="00E45C65"/>
    <w:rsid w:val="00E47576"/>
    <w:rsid w:val="00E5155C"/>
    <w:rsid w:val="00E52FA9"/>
    <w:rsid w:val="00E54CC0"/>
    <w:rsid w:val="00E7381D"/>
    <w:rsid w:val="00E76B21"/>
    <w:rsid w:val="00E82B4B"/>
    <w:rsid w:val="00E92CE3"/>
    <w:rsid w:val="00E946A1"/>
    <w:rsid w:val="00EB41F6"/>
    <w:rsid w:val="00EC31E1"/>
    <w:rsid w:val="00EC56BA"/>
    <w:rsid w:val="00ED4124"/>
    <w:rsid w:val="00EF3952"/>
    <w:rsid w:val="00EF6B4F"/>
    <w:rsid w:val="00F00099"/>
    <w:rsid w:val="00F00467"/>
    <w:rsid w:val="00F027E4"/>
    <w:rsid w:val="00F05918"/>
    <w:rsid w:val="00F07647"/>
    <w:rsid w:val="00F07DCD"/>
    <w:rsid w:val="00F2381A"/>
    <w:rsid w:val="00F24CAC"/>
    <w:rsid w:val="00F309CF"/>
    <w:rsid w:val="00F4344F"/>
    <w:rsid w:val="00F473B6"/>
    <w:rsid w:val="00F47D38"/>
    <w:rsid w:val="00F5389F"/>
    <w:rsid w:val="00F66CD2"/>
    <w:rsid w:val="00F7423F"/>
    <w:rsid w:val="00F7625B"/>
    <w:rsid w:val="00F806F1"/>
    <w:rsid w:val="00F81DD3"/>
    <w:rsid w:val="00F81E91"/>
    <w:rsid w:val="00F86525"/>
    <w:rsid w:val="00F93AD5"/>
    <w:rsid w:val="00F94D6D"/>
    <w:rsid w:val="00F97DFC"/>
    <w:rsid w:val="00FA0091"/>
    <w:rsid w:val="00FB4601"/>
    <w:rsid w:val="00FB4831"/>
    <w:rsid w:val="00FB4950"/>
    <w:rsid w:val="00FC432B"/>
    <w:rsid w:val="00FE4A1E"/>
    <w:rsid w:val="00FF11CA"/>
    <w:rsid w:val="00FF6BA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1B979045-804C-4127-AA30-7B1175C33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page number" w:uiPriority="99"/>
    <w:lsdException w:name="Title" w:qFormat="1"/>
    <w:lsdException w:name="Subtitle" w:qFormat="1"/>
    <w:lsdException w:name="Strong" w:qFormat="1"/>
    <w:lsdException w:name="Emphasis" w:qFormat="1"/>
    <w:lsdException w:name="Plain Text" w:uiPriority="99"/>
    <w:lsdException w:name="Normal (Web)"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pPr>
      <w:overflowPunct w:val="0"/>
      <w:autoSpaceDE w:val="0"/>
      <w:autoSpaceDN w:val="0"/>
      <w:adjustRightInd w:val="0"/>
      <w:textAlignment w:val="baseline"/>
    </w:pPr>
  </w:style>
  <w:style w:type="paragraph" w:styleId="Naslov1">
    <w:name w:val="heading 1"/>
    <w:basedOn w:val="Navaden"/>
    <w:next w:val="Navaden"/>
    <w:link w:val="Naslov1Znak"/>
    <w:qFormat/>
    <w:pPr>
      <w:keepNext/>
      <w:widowControl w:val="0"/>
      <w:outlineLvl w:val="0"/>
    </w:pPr>
    <w:rPr>
      <w:b/>
      <w:sz w:val="24"/>
      <w:lang w:val="x-none" w:eastAsia="x-none"/>
    </w:rPr>
  </w:style>
  <w:style w:type="paragraph" w:styleId="Naslov2">
    <w:name w:val="heading 2"/>
    <w:basedOn w:val="Navaden"/>
    <w:next w:val="Navaden"/>
    <w:qFormat/>
    <w:rsid w:val="00F81DD3"/>
    <w:pPr>
      <w:keepNext/>
      <w:spacing w:before="240" w:after="60"/>
      <w:outlineLvl w:val="1"/>
    </w:pPr>
    <w:rPr>
      <w:rFonts w:ascii="Arial" w:hAnsi="Arial" w:cs="Arial"/>
      <w:b/>
      <w:bCs/>
      <w:i/>
      <w:iCs/>
      <w:sz w:val="28"/>
      <w:szCs w:val="28"/>
    </w:rPr>
  </w:style>
  <w:style w:type="paragraph" w:styleId="Naslov5">
    <w:name w:val="heading 5"/>
    <w:basedOn w:val="Navaden"/>
    <w:next w:val="Navaden"/>
    <w:link w:val="Naslov5Znak"/>
    <w:semiHidden/>
    <w:unhideWhenUsed/>
    <w:qFormat/>
    <w:rsid w:val="003D42AF"/>
    <w:pPr>
      <w:spacing w:before="240" w:after="60"/>
      <w:outlineLvl w:val="4"/>
    </w:pPr>
    <w:rPr>
      <w:rFonts w:ascii="Calibri" w:hAnsi="Calibri"/>
      <w:b/>
      <w:bCs/>
      <w:i/>
      <w:iCs/>
      <w:sz w:val="26"/>
      <w:szCs w:val="26"/>
      <w:lang w:val="x-none" w:eastAsia="x-none"/>
    </w:rPr>
  </w:style>
  <w:style w:type="character" w:default="1" w:styleId="Privzetapisavaodstavka">
    <w:name w:val="Default Paragraph Font"/>
    <w:semiHidden/>
  </w:style>
  <w:style w:type="table" w:default="1" w:styleId="Navadnatabela">
    <w:name w:val="Normal Table"/>
    <w:semiHidden/>
    <w:tblPr>
      <w:tblInd w:w="0" w:type="dxa"/>
      <w:tblCellMar>
        <w:top w:w="0" w:type="dxa"/>
        <w:left w:w="108" w:type="dxa"/>
        <w:bottom w:w="0" w:type="dxa"/>
        <w:right w:w="108" w:type="dxa"/>
      </w:tblCellMar>
    </w:tblPr>
  </w:style>
  <w:style w:type="numbering" w:default="1" w:styleId="Brezseznama">
    <w:name w:val="No List"/>
    <w:uiPriority w:val="99"/>
    <w:semiHidden/>
  </w:style>
  <w:style w:type="paragraph" w:styleId="Navaden0">
    <w:name w:val="Normal"/>
    <w:pPr>
      <w:widowControl w:val="0"/>
      <w:overflowPunct w:val="0"/>
      <w:autoSpaceDE w:val="0"/>
      <w:autoSpaceDN w:val="0"/>
      <w:adjustRightInd w:val="0"/>
      <w:textAlignment w:val="baseline"/>
    </w:pPr>
    <w:rPr>
      <w:sz w:val="24"/>
    </w:rPr>
  </w:style>
  <w:style w:type="paragraph" w:styleId="Naslov10">
    <w:name w:val="heading 1"/>
    <w:basedOn w:val="Navaden0"/>
    <w:next w:val="Navaden0"/>
    <w:pPr>
      <w:keepNext/>
    </w:pPr>
  </w:style>
  <w:style w:type="paragraph" w:styleId="Naslov20">
    <w:name w:val="heading 2"/>
    <w:basedOn w:val="Navaden0"/>
    <w:next w:val="Navaden0"/>
    <w:pPr>
      <w:keepNext/>
      <w:jc w:val="both"/>
    </w:pPr>
  </w:style>
  <w:style w:type="paragraph" w:styleId="Naslov3">
    <w:name w:val="heading 3"/>
    <w:basedOn w:val="Navaden0"/>
    <w:next w:val="Navaden0"/>
    <w:pPr>
      <w:keepNext/>
      <w:jc w:val="center"/>
    </w:pPr>
    <w:rPr>
      <w:b/>
      <w:spacing w:val="6"/>
      <w:sz w:val="26"/>
    </w:rPr>
  </w:style>
  <w:style w:type="character" w:styleId="Privzetapisavaodstavka0">
    <w:name w:val="Default Paragraph Font"/>
    <w:rPr>
      <w:sz w:val="20"/>
    </w:rPr>
  </w:style>
  <w:style w:type="paragraph" w:customStyle="1" w:styleId="Navaden1">
    <w:name w:val="Navaden1"/>
    <w:pPr>
      <w:widowControl w:val="0"/>
      <w:overflowPunct w:val="0"/>
      <w:autoSpaceDE w:val="0"/>
      <w:autoSpaceDN w:val="0"/>
      <w:adjustRightInd w:val="0"/>
      <w:textAlignment w:val="baseline"/>
    </w:pPr>
    <w:rPr>
      <w:rFonts w:ascii="SL Dutch" w:hAnsi="SL Dutch"/>
      <w:sz w:val="14"/>
    </w:rPr>
  </w:style>
  <w:style w:type="paragraph" w:customStyle="1" w:styleId="BodyText3">
    <w:name w:val="Body Text 3"/>
    <w:basedOn w:val="Navaden1"/>
    <w:rPr>
      <w:rFonts w:ascii="Times New Roman" w:hAnsi="Times New Roman"/>
      <w:i/>
      <w:sz w:val="18"/>
    </w:rPr>
  </w:style>
  <w:style w:type="paragraph" w:customStyle="1" w:styleId="besedilo">
    <w:name w:val="besedilo"/>
    <w:basedOn w:val="Navaden0"/>
    <w:pPr>
      <w:tabs>
        <w:tab w:val="left" w:pos="284"/>
        <w:tab w:val="left" w:pos="720"/>
        <w:tab w:val="left" w:pos="1440"/>
        <w:tab w:val="left" w:pos="2160"/>
        <w:tab w:val="left" w:pos="2880"/>
        <w:tab w:val="left" w:pos="3600"/>
        <w:tab w:val="left" w:pos="4320"/>
        <w:tab w:val="left" w:pos="5040"/>
        <w:tab w:val="left" w:pos="5760"/>
        <w:tab w:val="left" w:pos="6379"/>
        <w:tab w:val="left" w:pos="7200"/>
        <w:tab w:val="left" w:pos="7920"/>
      </w:tabs>
      <w:jc w:val="both"/>
    </w:pPr>
  </w:style>
  <w:style w:type="paragraph" w:styleId="Telobesedila">
    <w:name w:val="Body Text"/>
    <w:basedOn w:val="Navaden0"/>
    <w:pPr>
      <w:jc w:val="both"/>
    </w:pPr>
  </w:style>
  <w:style w:type="paragraph" w:customStyle="1" w:styleId="NormalWeb">
    <w:name w:val="Normal (Web)"/>
    <w:basedOn w:val="Navaden0"/>
    <w:pPr>
      <w:spacing w:before="100" w:after="100"/>
    </w:pPr>
  </w:style>
  <w:style w:type="paragraph" w:customStyle="1" w:styleId="BodyText2">
    <w:name w:val="Body Text 2"/>
    <w:basedOn w:val="Navaden0"/>
    <w:pPr>
      <w:tabs>
        <w:tab w:val="left" w:pos="288"/>
      </w:tabs>
      <w:jc w:val="both"/>
    </w:pPr>
    <w:rPr>
      <w:sz w:val="20"/>
    </w:rPr>
  </w:style>
  <w:style w:type="paragraph" w:styleId="Glava">
    <w:name w:val="header"/>
    <w:basedOn w:val="Navaden0"/>
    <w:link w:val="GlavaZnak"/>
    <w:pPr>
      <w:tabs>
        <w:tab w:val="center" w:pos="4153"/>
        <w:tab w:val="right" w:pos="8306"/>
      </w:tabs>
    </w:pPr>
    <w:rPr>
      <w:lang w:val="x-none" w:eastAsia="x-none"/>
    </w:rPr>
  </w:style>
  <w:style w:type="paragraph" w:styleId="Noga">
    <w:name w:val="footer"/>
    <w:basedOn w:val="Navaden0"/>
    <w:pPr>
      <w:tabs>
        <w:tab w:val="center" w:pos="4153"/>
        <w:tab w:val="right" w:pos="8306"/>
      </w:tabs>
    </w:pPr>
  </w:style>
  <w:style w:type="character" w:styleId="tevilkastrani">
    <w:name w:val="page number"/>
    <w:basedOn w:val="Privzetapisavaodstavka0"/>
    <w:uiPriority w:val="99"/>
    <w:rPr>
      <w:sz w:val="20"/>
    </w:rPr>
  </w:style>
  <w:style w:type="paragraph" w:customStyle="1" w:styleId="Naslov11">
    <w:name w:val="Naslov 11"/>
    <w:basedOn w:val="Navaden1"/>
    <w:next w:val="Navaden1"/>
    <w:pPr>
      <w:keepNext/>
    </w:pPr>
    <w:rPr>
      <w:rFonts w:ascii="Times New Roman" w:hAnsi="Times New Roman"/>
      <w:b/>
      <w:sz w:val="24"/>
    </w:rPr>
  </w:style>
  <w:style w:type="paragraph" w:styleId="Naslov4">
    <w:name w:val="heading 4"/>
    <w:basedOn w:val="Navaden1"/>
    <w:next w:val="Navaden1"/>
    <w:pPr>
      <w:keepNext/>
      <w:shd w:val="pct20" w:color="auto" w:fill="auto"/>
      <w:jc w:val="center"/>
    </w:pPr>
    <w:rPr>
      <w:rFonts w:ascii="Times New Roman" w:hAnsi="Times New Roman"/>
      <w:b/>
      <w:sz w:val="24"/>
    </w:rPr>
  </w:style>
  <w:style w:type="paragraph" w:styleId="Naslov9">
    <w:name w:val="heading 9"/>
    <w:basedOn w:val="Navaden1"/>
    <w:next w:val="Navaden1"/>
    <w:pPr>
      <w:keepNext/>
    </w:pPr>
    <w:rPr>
      <w:rFonts w:ascii="Times New Roman" w:hAnsi="Times New Roman"/>
      <w:sz w:val="18"/>
      <w:u w:val="single"/>
    </w:rPr>
  </w:style>
  <w:style w:type="paragraph" w:customStyle="1" w:styleId="Telobesedila1">
    <w:name w:val="Telo besedila1"/>
    <w:basedOn w:val="Navaden1"/>
    <w:pPr>
      <w:jc w:val="both"/>
    </w:pPr>
    <w:rPr>
      <w:rFonts w:ascii="Times" w:hAnsi="Times"/>
      <w:sz w:val="24"/>
    </w:rPr>
  </w:style>
  <w:style w:type="character" w:styleId="Hiperpovezava">
    <w:name w:val="Hyperlink"/>
    <w:rPr>
      <w:color w:val="0000FF"/>
      <w:sz w:val="20"/>
      <w:u w:val="single"/>
    </w:rPr>
  </w:style>
  <w:style w:type="paragraph" w:styleId="Noga0">
    <w:name w:val="footer"/>
    <w:basedOn w:val="Navaden"/>
    <w:link w:val="NogaZnak"/>
    <w:uiPriority w:val="99"/>
    <w:pPr>
      <w:tabs>
        <w:tab w:val="center" w:pos="4153"/>
        <w:tab w:val="right" w:pos="8306"/>
      </w:tabs>
    </w:pPr>
  </w:style>
  <w:style w:type="paragraph" w:styleId="Telobesedila2">
    <w:name w:val="Body Text 2"/>
    <w:basedOn w:val="Navaden0"/>
    <w:rPr>
      <w:b/>
      <w:u w:val="single"/>
    </w:rPr>
  </w:style>
  <w:style w:type="character" w:customStyle="1" w:styleId="Hyperlink">
    <w:name w:val="Hyperlink"/>
    <w:rPr>
      <w:color w:val="0000FF"/>
      <w:u w:val="single"/>
    </w:rPr>
  </w:style>
  <w:style w:type="paragraph" w:styleId="Besedilooblaka">
    <w:name w:val="Balloon Text"/>
    <w:basedOn w:val="Navaden"/>
    <w:link w:val="BesedilooblakaZnak"/>
    <w:uiPriority w:val="99"/>
    <w:semiHidden/>
    <w:rsid w:val="005C48A8"/>
    <w:rPr>
      <w:rFonts w:ascii="Tahoma" w:hAnsi="Tahoma" w:cs="Tahoma"/>
      <w:sz w:val="16"/>
      <w:szCs w:val="16"/>
    </w:rPr>
  </w:style>
  <w:style w:type="paragraph" w:customStyle="1" w:styleId="tab">
    <w:name w:val="tab"/>
    <w:basedOn w:val="Navaden"/>
    <w:rsid w:val="00B232B9"/>
    <w:pPr>
      <w:tabs>
        <w:tab w:val="left" w:pos="284"/>
        <w:tab w:val="left" w:pos="720"/>
        <w:tab w:val="left" w:pos="1440"/>
        <w:tab w:val="left" w:pos="2160"/>
        <w:tab w:val="left" w:pos="2880"/>
        <w:tab w:val="left" w:pos="3600"/>
        <w:tab w:val="left" w:pos="4320"/>
        <w:tab w:val="left" w:pos="5040"/>
        <w:tab w:val="left" w:pos="5760"/>
        <w:tab w:val="left" w:pos="6480"/>
        <w:tab w:val="left" w:pos="7200"/>
        <w:tab w:val="left" w:pos="7920"/>
      </w:tabs>
      <w:overflowPunct/>
      <w:autoSpaceDE/>
      <w:autoSpaceDN/>
      <w:adjustRightInd/>
      <w:textAlignment w:val="auto"/>
    </w:pPr>
    <w:rPr>
      <w:sz w:val="24"/>
    </w:rPr>
  </w:style>
  <w:style w:type="paragraph" w:styleId="Navadensplet">
    <w:name w:val="Normal (Web)"/>
    <w:basedOn w:val="Navaden"/>
    <w:uiPriority w:val="99"/>
    <w:unhideWhenUsed/>
    <w:rsid w:val="00AC03BB"/>
    <w:pPr>
      <w:overflowPunct/>
      <w:autoSpaceDE/>
      <w:autoSpaceDN/>
      <w:adjustRightInd/>
      <w:spacing w:before="100" w:beforeAutospacing="1" w:after="100" w:afterAutospacing="1"/>
      <w:textAlignment w:val="auto"/>
    </w:pPr>
    <w:rPr>
      <w:sz w:val="24"/>
      <w:szCs w:val="24"/>
    </w:rPr>
  </w:style>
  <w:style w:type="paragraph" w:styleId="Odstavekseznama">
    <w:name w:val="List Paragraph"/>
    <w:basedOn w:val="Navaden"/>
    <w:uiPriority w:val="34"/>
    <w:qFormat/>
    <w:rsid w:val="00962EF9"/>
    <w:pPr>
      <w:ind w:left="708"/>
    </w:pPr>
  </w:style>
  <w:style w:type="character" w:customStyle="1" w:styleId="GlavaZnak">
    <w:name w:val="Glava Znak"/>
    <w:link w:val="Glava"/>
    <w:rsid w:val="006D5308"/>
    <w:rPr>
      <w:sz w:val="24"/>
    </w:rPr>
  </w:style>
  <w:style w:type="table" w:styleId="Tabela-mrea">
    <w:name w:val="Tabela - mreža"/>
    <w:basedOn w:val="Navadnatabela"/>
    <w:uiPriority w:val="59"/>
    <w:rsid w:val="006D53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sklic">
    <w:name w:val="Komentar - sklic"/>
    <w:uiPriority w:val="99"/>
    <w:unhideWhenUsed/>
    <w:rsid w:val="002F6CC5"/>
    <w:rPr>
      <w:sz w:val="16"/>
      <w:szCs w:val="16"/>
    </w:rPr>
  </w:style>
  <w:style w:type="paragraph" w:styleId="Komentar-besedilo">
    <w:name w:val="Komentar - besedilo"/>
    <w:basedOn w:val="Navaden"/>
    <w:link w:val="Komentar-besediloZnak"/>
    <w:uiPriority w:val="99"/>
    <w:unhideWhenUsed/>
    <w:rsid w:val="002F6CC5"/>
    <w:pPr>
      <w:overflowPunct/>
      <w:autoSpaceDE/>
      <w:autoSpaceDN/>
      <w:adjustRightInd/>
      <w:spacing w:after="200" w:line="276" w:lineRule="auto"/>
      <w:textAlignment w:val="auto"/>
    </w:pPr>
    <w:rPr>
      <w:rFonts w:ascii="Arial" w:eastAsia="Calibri" w:hAnsi="Arial"/>
      <w:lang w:val="x-none" w:eastAsia="en-US"/>
    </w:rPr>
  </w:style>
  <w:style w:type="character" w:customStyle="1" w:styleId="Komentar-besediloZnak">
    <w:name w:val="Komentar - besedilo Znak"/>
    <w:link w:val="Komentar-besedilo"/>
    <w:uiPriority w:val="99"/>
    <w:rsid w:val="002F6CC5"/>
    <w:rPr>
      <w:rFonts w:ascii="Arial" w:eastAsia="Calibri" w:hAnsi="Arial"/>
      <w:lang w:eastAsia="en-US"/>
    </w:rPr>
  </w:style>
  <w:style w:type="paragraph" w:customStyle="1" w:styleId="esegmentp">
    <w:name w:val="esegment_p"/>
    <w:basedOn w:val="Navaden"/>
    <w:rsid w:val="0004748A"/>
    <w:pPr>
      <w:overflowPunct/>
      <w:autoSpaceDE/>
      <w:autoSpaceDN/>
      <w:adjustRightInd/>
      <w:spacing w:after="210"/>
      <w:ind w:firstLine="240"/>
      <w:jc w:val="both"/>
      <w:textAlignment w:val="auto"/>
    </w:pPr>
    <w:rPr>
      <w:color w:val="313131"/>
      <w:sz w:val="24"/>
      <w:szCs w:val="24"/>
    </w:rPr>
  </w:style>
  <w:style w:type="paragraph" w:customStyle="1" w:styleId="esegmenth4">
    <w:name w:val="esegment_h4"/>
    <w:basedOn w:val="Navaden"/>
    <w:rsid w:val="0004748A"/>
    <w:pPr>
      <w:overflowPunct/>
      <w:autoSpaceDE/>
      <w:autoSpaceDN/>
      <w:adjustRightInd/>
      <w:spacing w:after="210"/>
      <w:jc w:val="center"/>
      <w:textAlignment w:val="auto"/>
    </w:pPr>
    <w:rPr>
      <w:b/>
      <w:bCs/>
      <w:color w:val="313131"/>
      <w:sz w:val="24"/>
      <w:szCs w:val="24"/>
    </w:rPr>
  </w:style>
  <w:style w:type="character" w:customStyle="1" w:styleId="postbody1">
    <w:name w:val="postbody1"/>
    <w:rsid w:val="00D916E5"/>
    <w:rPr>
      <w:sz w:val="14"/>
      <w:szCs w:val="14"/>
    </w:rPr>
  </w:style>
  <w:style w:type="paragraph" w:styleId="Golobesedilo">
    <w:name w:val="Plain Text"/>
    <w:basedOn w:val="Navaden"/>
    <w:link w:val="GolobesediloZnak"/>
    <w:uiPriority w:val="99"/>
    <w:unhideWhenUsed/>
    <w:rsid w:val="00C44958"/>
    <w:pPr>
      <w:overflowPunct/>
      <w:autoSpaceDE/>
      <w:autoSpaceDN/>
      <w:adjustRightInd/>
      <w:textAlignment w:val="auto"/>
    </w:pPr>
    <w:rPr>
      <w:rFonts w:ascii="Consolas" w:eastAsia="Calibri" w:hAnsi="Consolas"/>
      <w:sz w:val="21"/>
      <w:szCs w:val="21"/>
      <w:lang w:val="x-none" w:eastAsia="en-US"/>
    </w:rPr>
  </w:style>
  <w:style w:type="character" w:customStyle="1" w:styleId="GolobesediloZnak">
    <w:name w:val="Golo besedilo Znak"/>
    <w:link w:val="Golobesedilo"/>
    <w:uiPriority w:val="99"/>
    <w:rsid w:val="00C44958"/>
    <w:rPr>
      <w:rFonts w:ascii="Consolas" w:eastAsia="Calibri" w:hAnsi="Consolas"/>
      <w:sz w:val="21"/>
      <w:szCs w:val="21"/>
      <w:lang w:eastAsia="en-US"/>
    </w:rPr>
  </w:style>
  <w:style w:type="character" w:customStyle="1" w:styleId="Naslov5Znak">
    <w:name w:val="Naslov 5 Znak"/>
    <w:link w:val="Naslov5"/>
    <w:semiHidden/>
    <w:rsid w:val="003D42AF"/>
    <w:rPr>
      <w:rFonts w:ascii="Calibri" w:eastAsia="Times New Roman" w:hAnsi="Calibri" w:cs="Times New Roman"/>
      <w:b/>
      <w:bCs/>
      <w:i/>
      <w:iCs/>
      <w:sz w:val="26"/>
      <w:szCs w:val="26"/>
    </w:rPr>
  </w:style>
  <w:style w:type="character" w:customStyle="1" w:styleId="Naslov1Znak">
    <w:name w:val="Naslov 1 Znak"/>
    <w:link w:val="Naslov1"/>
    <w:rsid w:val="00142DE7"/>
    <w:rPr>
      <w:b/>
      <w:sz w:val="24"/>
    </w:rPr>
  </w:style>
  <w:style w:type="character" w:customStyle="1" w:styleId="NogaZnak">
    <w:name w:val="Noga Znak"/>
    <w:link w:val="Noga0"/>
    <w:uiPriority w:val="99"/>
    <w:rsid w:val="007573CF"/>
  </w:style>
  <w:style w:type="paragraph" w:customStyle="1" w:styleId="BODY">
    <w:name w:val="BODY"/>
    <w:basedOn w:val="Navaden"/>
    <w:link w:val="BODYChar"/>
    <w:qFormat/>
    <w:rsid w:val="00923E81"/>
    <w:pPr>
      <w:overflowPunct/>
      <w:autoSpaceDE/>
      <w:autoSpaceDN/>
      <w:adjustRightInd/>
      <w:spacing w:after="120"/>
      <w:jc w:val="both"/>
      <w:textAlignment w:val="auto"/>
    </w:pPr>
    <w:rPr>
      <w:sz w:val="24"/>
      <w:szCs w:val="24"/>
      <w:lang w:val="x-none" w:eastAsia="en-US"/>
    </w:rPr>
  </w:style>
  <w:style w:type="character" w:customStyle="1" w:styleId="BODYChar">
    <w:name w:val="BODY Char"/>
    <w:link w:val="BODY"/>
    <w:rsid w:val="00923E81"/>
    <w:rPr>
      <w:sz w:val="24"/>
      <w:szCs w:val="24"/>
      <w:lang w:eastAsia="en-US"/>
    </w:rPr>
  </w:style>
  <w:style w:type="character" w:customStyle="1" w:styleId="BesedilooblakaZnak">
    <w:name w:val="Besedilo oblačka Znak"/>
    <w:link w:val="Besedilooblaka"/>
    <w:uiPriority w:val="99"/>
    <w:semiHidden/>
    <w:rsid w:val="00F81E91"/>
    <w:rPr>
      <w:rFonts w:ascii="Tahoma" w:hAnsi="Tahoma" w:cs="Tahoma"/>
      <w:sz w:val="16"/>
      <w:szCs w:val="16"/>
    </w:rPr>
  </w:style>
  <w:style w:type="paragraph" w:customStyle="1" w:styleId="Slika">
    <w:name w:val="Slika"/>
    <w:basedOn w:val="Navaden"/>
    <w:qFormat/>
    <w:rsid w:val="00F81E91"/>
    <w:pPr>
      <w:overflowPunct/>
      <w:autoSpaceDE/>
      <w:autoSpaceDN/>
      <w:adjustRightInd/>
      <w:spacing w:before="60" w:after="60"/>
      <w:jc w:val="both"/>
      <w:textAlignment w:val="auto"/>
    </w:pPr>
    <w:rPr>
      <w:rFonts w:ascii="Calibri" w:hAnsi="Calibri"/>
      <w:noProof/>
    </w:rPr>
  </w:style>
  <w:style w:type="character" w:customStyle="1" w:styleId="PripombabesediloZnak">
    <w:name w:val="Pripomba – besedilo Znak"/>
    <w:uiPriority w:val="99"/>
    <w:semiHidden/>
    <w:rsid w:val="00F81E91"/>
    <w:rPr>
      <w:rFonts w:ascii="Times New Roman" w:eastAsia="Times New Roman" w:hAnsi="Times New Roman" w:cs="Times New Roman"/>
      <w:sz w:val="20"/>
      <w:szCs w:val="20"/>
      <w:lang w:eastAsia="sl-SI"/>
    </w:rPr>
  </w:style>
  <w:style w:type="paragraph" w:styleId="Zadevapripombe">
    <w:name w:val="annotation subject"/>
    <w:basedOn w:val="Komentar-besedilo"/>
    <w:next w:val="Komentar-besedilo"/>
    <w:link w:val="ZadevapripombeZnak"/>
    <w:uiPriority w:val="99"/>
    <w:unhideWhenUsed/>
    <w:rsid w:val="00F81E91"/>
    <w:pPr>
      <w:spacing w:after="0" w:line="240" w:lineRule="auto"/>
    </w:pPr>
    <w:rPr>
      <w:rFonts w:ascii="Times New Roman" w:eastAsia="Times New Roman" w:hAnsi="Times New Roman"/>
      <w:b/>
      <w:bCs/>
      <w:lang w:val="sl-SI" w:eastAsia="sl-SI"/>
    </w:rPr>
  </w:style>
  <w:style w:type="character" w:customStyle="1" w:styleId="ZadevapripombeZnak">
    <w:name w:val="Zadeva pripombe Znak"/>
    <w:link w:val="Zadevapripombe"/>
    <w:uiPriority w:val="99"/>
    <w:rsid w:val="00F81E91"/>
    <w:rPr>
      <w:rFonts w:ascii="Arial" w:eastAsia="Calibri" w:hAnsi="Arial"/>
      <w:b/>
      <w:bCs/>
      <w:lang w:eastAsia="en-US"/>
    </w:rPr>
  </w:style>
  <w:style w:type="paragraph" w:customStyle="1" w:styleId="snaslov1">
    <w:name w:val="snaslov1"/>
    <w:basedOn w:val="Navaden"/>
    <w:rsid w:val="00F81E91"/>
    <w:pPr>
      <w:overflowPunct/>
      <w:autoSpaceDE/>
      <w:autoSpaceDN/>
      <w:adjustRightInd/>
      <w:spacing w:line="288" w:lineRule="auto"/>
      <w:textAlignment w:val="top"/>
    </w:pPr>
    <w:rPr>
      <w:rFonts w:ascii="Tahoma" w:hAnsi="Tahoma" w:cs="Tahoma"/>
      <w:b/>
      <w:bCs/>
      <w:color w:val="000066"/>
      <w:sz w:val="28"/>
      <w:szCs w:val="28"/>
    </w:rPr>
  </w:style>
  <w:style w:type="paragraph" w:customStyle="1" w:styleId="Default">
    <w:name w:val="Default"/>
    <w:rsid w:val="00FB4950"/>
    <w:pPr>
      <w:autoSpaceDE w:val="0"/>
      <w:autoSpaceDN w:val="0"/>
      <w:adjustRightInd w:val="0"/>
    </w:pPr>
    <w:rPr>
      <w:color w:val="000000"/>
      <w:sz w:val="24"/>
      <w:szCs w:val="24"/>
    </w:rPr>
  </w:style>
  <w:style w:type="paragraph" w:styleId="Naslov">
    <w:name w:val="Title"/>
    <w:basedOn w:val="Navaden"/>
    <w:next w:val="Navaden"/>
    <w:link w:val="NaslovZnak"/>
    <w:qFormat/>
    <w:rsid w:val="00F07647"/>
    <w:pPr>
      <w:spacing w:before="240" w:after="60"/>
      <w:jc w:val="center"/>
      <w:outlineLvl w:val="0"/>
    </w:pPr>
    <w:rPr>
      <w:rFonts w:ascii="Calibri Light" w:hAnsi="Calibri Light"/>
      <w:b/>
      <w:bCs/>
      <w:kern w:val="28"/>
      <w:sz w:val="32"/>
      <w:szCs w:val="32"/>
    </w:rPr>
  </w:style>
  <w:style w:type="character" w:customStyle="1" w:styleId="NaslovZnak">
    <w:name w:val="Naslov Znak"/>
    <w:link w:val="Naslov"/>
    <w:rsid w:val="00F07647"/>
    <w:rPr>
      <w:rFonts w:ascii="Calibri Light" w:eastAsia="Times New Roman" w:hAnsi="Calibri Light" w:cs="Times New Roman"/>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917863">
      <w:bodyDiv w:val="1"/>
      <w:marLeft w:val="0"/>
      <w:marRight w:val="0"/>
      <w:marTop w:val="0"/>
      <w:marBottom w:val="0"/>
      <w:divBdr>
        <w:top w:val="none" w:sz="0" w:space="0" w:color="auto"/>
        <w:left w:val="none" w:sz="0" w:space="0" w:color="auto"/>
        <w:bottom w:val="none" w:sz="0" w:space="0" w:color="auto"/>
        <w:right w:val="none" w:sz="0" w:space="0" w:color="auto"/>
      </w:divBdr>
    </w:div>
    <w:div w:id="375355090">
      <w:bodyDiv w:val="1"/>
      <w:marLeft w:val="0"/>
      <w:marRight w:val="0"/>
      <w:marTop w:val="0"/>
      <w:marBottom w:val="0"/>
      <w:divBdr>
        <w:top w:val="none" w:sz="0" w:space="0" w:color="auto"/>
        <w:left w:val="none" w:sz="0" w:space="0" w:color="auto"/>
        <w:bottom w:val="none" w:sz="0" w:space="0" w:color="auto"/>
        <w:right w:val="none" w:sz="0" w:space="0" w:color="auto"/>
      </w:divBdr>
    </w:div>
    <w:div w:id="517739128">
      <w:bodyDiv w:val="1"/>
      <w:marLeft w:val="0"/>
      <w:marRight w:val="0"/>
      <w:marTop w:val="0"/>
      <w:marBottom w:val="0"/>
      <w:divBdr>
        <w:top w:val="none" w:sz="0" w:space="0" w:color="auto"/>
        <w:left w:val="none" w:sz="0" w:space="0" w:color="auto"/>
        <w:bottom w:val="none" w:sz="0" w:space="0" w:color="auto"/>
        <w:right w:val="none" w:sz="0" w:space="0" w:color="auto"/>
      </w:divBdr>
    </w:div>
    <w:div w:id="931551636">
      <w:bodyDiv w:val="1"/>
      <w:marLeft w:val="0"/>
      <w:marRight w:val="0"/>
      <w:marTop w:val="0"/>
      <w:marBottom w:val="0"/>
      <w:divBdr>
        <w:top w:val="none" w:sz="0" w:space="0" w:color="auto"/>
        <w:left w:val="none" w:sz="0" w:space="0" w:color="auto"/>
        <w:bottom w:val="none" w:sz="0" w:space="0" w:color="auto"/>
        <w:right w:val="none" w:sz="0" w:space="0" w:color="auto"/>
      </w:divBdr>
    </w:div>
    <w:div w:id="1041202782">
      <w:bodyDiv w:val="1"/>
      <w:marLeft w:val="0"/>
      <w:marRight w:val="0"/>
      <w:marTop w:val="0"/>
      <w:marBottom w:val="0"/>
      <w:divBdr>
        <w:top w:val="none" w:sz="0" w:space="0" w:color="auto"/>
        <w:left w:val="none" w:sz="0" w:space="0" w:color="auto"/>
        <w:bottom w:val="none" w:sz="0" w:space="0" w:color="auto"/>
        <w:right w:val="none" w:sz="0" w:space="0" w:color="auto"/>
      </w:divBdr>
    </w:div>
    <w:div w:id="1054885245">
      <w:bodyDiv w:val="1"/>
      <w:marLeft w:val="0"/>
      <w:marRight w:val="0"/>
      <w:marTop w:val="0"/>
      <w:marBottom w:val="0"/>
      <w:divBdr>
        <w:top w:val="none" w:sz="0" w:space="0" w:color="auto"/>
        <w:left w:val="none" w:sz="0" w:space="0" w:color="auto"/>
        <w:bottom w:val="none" w:sz="0" w:space="0" w:color="auto"/>
        <w:right w:val="none" w:sz="0" w:space="0" w:color="auto"/>
      </w:divBdr>
    </w:div>
    <w:div w:id="1159731674">
      <w:bodyDiv w:val="1"/>
      <w:marLeft w:val="0"/>
      <w:marRight w:val="0"/>
      <w:marTop w:val="0"/>
      <w:marBottom w:val="0"/>
      <w:divBdr>
        <w:top w:val="none" w:sz="0" w:space="0" w:color="auto"/>
        <w:left w:val="none" w:sz="0" w:space="0" w:color="auto"/>
        <w:bottom w:val="none" w:sz="0" w:space="0" w:color="auto"/>
        <w:right w:val="none" w:sz="0" w:space="0" w:color="auto"/>
      </w:divBdr>
    </w:div>
    <w:div w:id="1344014409">
      <w:bodyDiv w:val="1"/>
      <w:marLeft w:val="0"/>
      <w:marRight w:val="0"/>
      <w:marTop w:val="0"/>
      <w:marBottom w:val="0"/>
      <w:divBdr>
        <w:top w:val="none" w:sz="0" w:space="0" w:color="auto"/>
        <w:left w:val="none" w:sz="0" w:space="0" w:color="auto"/>
        <w:bottom w:val="none" w:sz="0" w:space="0" w:color="auto"/>
        <w:right w:val="none" w:sz="0" w:space="0" w:color="auto"/>
      </w:divBdr>
      <w:divsChild>
        <w:div w:id="823469851">
          <w:marLeft w:val="0"/>
          <w:marRight w:val="0"/>
          <w:marTop w:val="0"/>
          <w:marBottom w:val="0"/>
          <w:divBdr>
            <w:top w:val="none" w:sz="0" w:space="0" w:color="auto"/>
            <w:left w:val="none" w:sz="0" w:space="0" w:color="auto"/>
            <w:bottom w:val="none" w:sz="0" w:space="0" w:color="auto"/>
            <w:right w:val="none" w:sz="0" w:space="0" w:color="auto"/>
          </w:divBdr>
        </w:div>
        <w:div w:id="1164780772">
          <w:marLeft w:val="0"/>
          <w:marRight w:val="0"/>
          <w:marTop w:val="0"/>
          <w:marBottom w:val="0"/>
          <w:divBdr>
            <w:top w:val="none" w:sz="0" w:space="0" w:color="auto"/>
            <w:left w:val="none" w:sz="0" w:space="0" w:color="auto"/>
            <w:bottom w:val="none" w:sz="0" w:space="0" w:color="auto"/>
            <w:right w:val="none" w:sz="0" w:space="0" w:color="auto"/>
          </w:divBdr>
        </w:div>
      </w:divsChild>
    </w:div>
    <w:div w:id="1432045929">
      <w:bodyDiv w:val="1"/>
      <w:marLeft w:val="0"/>
      <w:marRight w:val="0"/>
      <w:marTop w:val="0"/>
      <w:marBottom w:val="0"/>
      <w:divBdr>
        <w:top w:val="none" w:sz="0" w:space="0" w:color="auto"/>
        <w:left w:val="none" w:sz="0" w:space="0" w:color="auto"/>
        <w:bottom w:val="none" w:sz="0" w:space="0" w:color="auto"/>
        <w:right w:val="none" w:sz="0" w:space="0" w:color="auto"/>
      </w:divBdr>
    </w:div>
    <w:div w:id="1512375642">
      <w:bodyDiv w:val="1"/>
      <w:marLeft w:val="0"/>
      <w:marRight w:val="0"/>
      <w:marTop w:val="0"/>
      <w:marBottom w:val="0"/>
      <w:divBdr>
        <w:top w:val="none" w:sz="0" w:space="0" w:color="auto"/>
        <w:left w:val="none" w:sz="0" w:space="0" w:color="auto"/>
        <w:bottom w:val="none" w:sz="0" w:space="0" w:color="auto"/>
        <w:right w:val="none" w:sz="0" w:space="0" w:color="auto"/>
      </w:divBdr>
    </w:div>
    <w:div w:id="1653020335">
      <w:bodyDiv w:val="1"/>
      <w:marLeft w:val="0"/>
      <w:marRight w:val="0"/>
      <w:marTop w:val="0"/>
      <w:marBottom w:val="0"/>
      <w:divBdr>
        <w:top w:val="none" w:sz="0" w:space="0" w:color="auto"/>
        <w:left w:val="none" w:sz="0" w:space="0" w:color="auto"/>
        <w:bottom w:val="none" w:sz="0" w:space="0" w:color="auto"/>
        <w:right w:val="none" w:sz="0" w:space="0" w:color="auto"/>
      </w:divBdr>
    </w:div>
    <w:div w:id="1660575692">
      <w:bodyDiv w:val="1"/>
      <w:marLeft w:val="0"/>
      <w:marRight w:val="0"/>
      <w:marTop w:val="0"/>
      <w:marBottom w:val="0"/>
      <w:divBdr>
        <w:top w:val="none" w:sz="0" w:space="0" w:color="auto"/>
        <w:left w:val="none" w:sz="0" w:space="0" w:color="auto"/>
        <w:bottom w:val="none" w:sz="0" w:space="0" w:color="auto"/>
        <w:right w:val="none" w:sz="0" w:space="0" w:color="auto"/>
      </w:divBdr>
    </w:div>
    <w:div w:id="1680424203">
      <w:bodyDiv w:val="1"/>
      <w:marLeft w:val="0"/>
      <w:marRight w:val="0"/>
      <w:marTop w:val="0"/>
      <w:marBottom w:val="0"/>
      <w:divBdr>
        <w:top w:val="none" w:sz="0" w:space="0" w:color="auto"/>
        <w:left w:val="none" w:sz="0" w:space="0" w:color="auto"/>
        <w:bottom w:val="none" w:sz="0" w:space="0" w:color="auto"/>
        <w:right w:val="none" w:sz="0" w:space="0" w:color="auto"/>
      </w:divBdr>
    </w:div>
    <w:div w:id="1681084534">
      <w:bodyDiv w:val="1"/>
      <w:marLeft w:val="0"/>
      <w:marRight w:val="0"/>
      <w:marTop w:val="0"/>
      <w:marBottom w:val="0"/>
      <w:divBdr>
        <w:top w:val="none" w:sz="0" w:space="0" w:color="auto"/>
        <w:left w:val="none" w:sz="0" w:space="0" w:color="auto"/>
        <w:bottom w:val="none" w:sz="0" w:space="0" w:color="auto"/>
        <w:right w:val="none" w:sz="0" w:space="0" w:color="auto"/>
      </w:divBdr>
    </w:div>
    <w:div w:id="1768383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chart" Target="charts/chart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2" Type="http://schemas.openxmlformats.org/officeDocument/2006/relationships/oleObject" Target="file:///\\humulus1\OVR\PROGNOZA\HMELJARSTVO\Hmeljeva%20listna%20u&#353;\Prelet_krilatih_u&#353;i96-21.xls"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humulus1\OVR\PROGNOZA\HMELJARSTVO\Koruzna%20ve&#353;&#269;a\Koruzna%20ve&#353;&#269;a_99-21.xls" TargetMode="External"/><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lineChart>
        <c:grouping val="standard"/>
        <c:varyColors val="0"/>
        <c:ser>
          <c:idx val="0"/>
          <c:order val="0"/>
          <c:tx>
            <c:strRef>
              <c:f>'graf 2021'!$D$1</c:f>
              <c:strCache>
                <c:ptCount val="1"/>
                <c:pt idx="0">
                  <c:v>Leto 2019</c:v>
                </c:pt>
              </c:strCache>
            </c:strRef>
          </c:tx>
          <c:spPr>
            <a:ln>
              <a:prstDash val="sysDash"/>
            </a:ln>
          </c:spPr>
          <c:marker>
            <c:symbol val="none"/>
          </c:marker>
          <c:cat>
            <c:strRef>
              <c:f>'graf 2021'!$A$2:$A$62</c:f>
              <c:strCache>
                <c:ptCount val="61"/>
                <c:pt idx="0">
                  <c:v>23.</c:v>
                </c:pt>
                <c:pt idx="1">
                  <c:v>24.</c:v>
                </c:pt>
                <c:pt idx="2">
                  <c:v>25.</c:v>
                </c:pt>
                <c:pt idx="3">
                  <c:v>26.</c:v>
                </c:pt>
                <c:pt idx="4">
                  <c:v>27.</c:v>
                </c:pt>
                <c:pt idx="5">
                  <c:v>28.</c:v>
                </c:pt>
                <c:pt idx="6">
                  <c:v>29.</c:v>
                </c:pt>
                <c:pt idx="7">
                  <c:v>30.</c:v>
                </c:pt>
                <c:pt idx="8">
                  <c:v>1.</c:v>
                </c:pt>
                <c:pt idx="9">
                  <c:v>2.</c:v>
                </c:pt>
                <c:pt idx="10">
                  <c:v>3.</c:v>
                </c:pt>
                <c:pt idx="11">
                  <c:v>4.</c:v>
                </c:pt>
                <c:pt idx="12">
                  <c:v>5.</c:v>
                </c:pt>
                <c:pt idx="13">
                  <c:v>6.</c:v>
                </c:pt>
                <c:pt idx="14">
                  <c:v>7.</c:v>
                </c:pt>
                <c:pt idx="15">
                  <c:v>8.</c:v>
                </c:pt>
                <c:pt idx="16">
                  <c:v>9.</c:v>
                </c:pt>
                <c:pt idx="17">
                  <c:v>10.</c:v>
                </c:pt>
                <c:pt idx="18">
                  <c:v>11.</c:v>
                </c:pt>
                <c:pt idx="19">
                  <c:v>12.</c:v>
                </c:pt>
                <c:pt idx="20">
                  <c:v>13.</c:v>
                </c:pt>
                <c:pt idx="21">
                  <c:v>14.</c:v>
                </c:pt>
                <c:pt idx="22">
                  <c:v>15.</c:v>
                </c:pt>
                <c:pt idx="23">
                  <c:v>16.</c:v>
                </c:pt>
                <c:pt idx="24">
                  <c:v>17.</c:v>
                </c:pt>
                <c:pt idx="25">
                  <c:v>18.</c:v>
                </c:pt>
                <c:pt idx="26">
                  <c:v>19.</c:v>
                </c:pt>
                <c:pt idx="27">
                  <c:v>20.</c:v>
                </c:pt>
                <c:pt idx="28">
                  <c:v>21.</c:v>
                </c:pt>
                <c:pt idx="29">
                  <c:v>22.</c:v>
                </c:pt>
                <c:pt idx="30">
                  <c:v>23.</c:v>
                </c:pt>
                <c:pt idx="31">
                  <c:v>24.</c:v>
                </c:pt>
                <c:pt idx="32">
                  <c:v>25.</c:v>
                </c:pt>
                <c:pt idx="33">
                  <c:v>26.</c:v>
                </c:pt>
                <c:pt idx="34">
                  <c:v>27.</c:v>
                </c:pt>
                <c:pt idx="35">
                  <c:v>28.</c:v>
                </c:pt>
                <c:pt idx="36">
                  <c:v>29.</c:v>
                </c:pt>
                <c:pt idx="37">
                  <c:v>30.</c:v>
                </c:pt>
                <c:pt idx="38">
                  <c:v>31.</c:v>
                </c:pt>
                <c:pt idx="39">
                  <c:v>1.</c:v>
                </c:pt>
                <c:pt idx="40">
                  <c:v>2.</c:v>
                </c:pt>
                <c:pt idx="41">
                  <c:v>3.</c:v>
                </c:pt>
                <c:pt idx="42">
                  <c:v>4.</c:v>
                </c:pt>
                <c:pt idx="43">
                  <c:v>5.</c:v>
                </c:pt>
                <c:pt idx="44">
                  <c:v>6.</c:v>
                </c:pt>
                <c:pt idx="45">
                  <c:v>7.</c:v>
                </c:pt>
                <c:pt idx="46">
                  <c:v>8.</c:v>
                </c:pt>
                <c:pt idx="47">
                  <c:v>9.</c:v>
                </c:pt>
                <c:pt idx="48">
                  <c:v>10.</c:v>
                </c:pt>
                <c:pt idx="49">
                  <c:v>11.</c:v>
                </c:pt>
                <c:pt idx="50">
                  <c:v>12.</c:v>
                </c:pt>
                <c:pt idx="51">
                  <c:v>13.</c:v>
                </c:pt>
                <c:pt idx="52">
                  <c:v>14.</c:v>
                </c:pt>
                <c:pt idx="53">
                  <c:v>15.</c:v>
                </c:pt>
                <c:pt idx="54">
                  <c:v>16.</c:v>
                </c:pt>
                <c:pt idx="55">
                  <c:v>17.</c:v>
                </c:pt>
                <c:pt idx="56">
                  <c:v>18.</c:v>
                </c:pt>
                <c:pt idx="57">
                  <c:v>19.</c:v>
                </c:pt>
                <c:pt idx="58">
                  <c:v>20.</c:v>
                </c:pt>
                <c:pt idx="59">
                  <c:v>21.</c:v>
                </c:pt>
                <c:pt idx="60">
                  <c:v>22</c:v>
                </c:pt>
              </c:strCache>
            </c:strRef>
          </c:cat>
          <c:val>
            <c:numRef>
              <c:f>'graf 2021'!$D$2:$D$62</c:f>
              <c:numCache>
                <c:formatCode>General</c:formatCode>
                <c:ptCount val="61"/>
                <c:pt idx="15">
                  <c:v>0.1</c:v>
                </c:pt>
                <c:pt idx="16">
                  <c:v>0.1</c:v>
                </c:pt>
                <c:pt idx="17">
                  <c:v>0.37</c:v>
                </c:pt>
                <c:pt idx="18">
                  <c:v>0.37</c:v>
                </c:pt>
                <c:pt idx="19">
                  <c:v>0.37</c:v>
                </c:pt>
                <c:pt idx="20">
                  <c:v>0.13</c:v>
                </c:pt>
                <c:pt idx="21">
                  <c:v>0.13</c:v>
                </c:pt>
                <c:pt idx="22">
                  <c:v>0.73</c:v>
                </c:pt>
                <c:pt idx="23" formatCode="0.0">
                  <c:v>0.73</c:v>
                </c:pt>
                <c:pt idx="24" formatCode="0.0">
                  <c:v>1.0900000000000001</c:v>
                </c:pt>
                <c:pt idx="25">
                  <c:v>1.0900000000000001</c:v>
                </c:pt>
                <c:pt idx="26">
                  <c:v>1.0900000000000001</c:v>
                </c:pt>
                <c:pt idx="27">
                  <c:v>0.60499999999999998</c:v>
                </c:pt>
                <c:pt idx="28">
                  <c:v>0.60499999999999998</c:v>
                </c:pt>
                <c:pt idx="29">
                  <c:v>2.3199999999999998</c:v>
                </c:pt>
                <c:pt idx="30">
                  <c:v>2.3199999999999998</c:v>
                </c:pt>
                <c:pt idx="31" formatCode="0.00">
                  <c:v>3.51</c:v>
                </c:pt>
                <c:pt idx="32" formatCode="0.00">
                  <c:v>3.51</c:v>
                </c:pt>
                <c:pt idx="33" formatCode="0.00">
                  <c:v>3.51</c:v>
                </c:pt>
                <c:pt idx="34" formatCode="0.00">
                  <c:v>1.41</c:v>
                </c:pt>
                <c:pt idx="35" formatCode="0.00">
                  <c:v>1.41</c:v>
                </c:pt>
                <c:pt idx="36" formatCode="0.00">
                  <c:v>1.41</c:v>
                </c:pt>
                <c:pt idx="37" formatCode="0.00">
                  <c:v>1.41</c:v>
                </c:pt>
                <c:pt idx="38" formatCode="0.00">
                  <c:v>1.28</c:v>
                </c:pt>
                <c:pt idx="39" formatCode="0.00">
                  <c:v>1.28</c:v>
                </c:pt>
                <c:pt idx="40" formatCode="0.00">
                  <c:v>1.28</c:v>
                </c:pt>
                <c:pt idx="41" formatCode="0.00">
                  <c:v>4.28</c:v>
                </c:pt>
                <c:pt idx="42" formatCode="0.00">
                  <c:v>4.28</c:v>
                </c:pt>
                <c:pt idx="43" formatCode="0.00">
                  <c:v>1.5</c:v>
                </c:pt>
                <c:pt idx="44" formatCode="0.00">
                  <c:v>1.5</c:v>
                </c:pt>
                <c:pt idx="45" formatCode="0.00">
                  <c:v>0.97</c:v>
                </c:pt>
                <c:pt idx="46" formatCode="0.00">
                  <c:v>0.97</c:v>
                </c:pt>
                <c:pt idx="47" formatCode="0.00">
                  <c:v>0.97</c:v>
                </c:pt>
                <c:pt idx="48" formatCode="0.00">
                  <c:v>0.08</c:v>
                </c:pt>
                <c:pt idx="49" formatCode="0.00">
                  <c:v>0.08</c:v>
                </c:pt>
                <c:pt idx="50" formatCode="0.00">
                  <c:v>0.08</c:v>
                </c:pt>
                <c:pt idx="51" formatCode="0.00">
                  <c:v>0.08</c:v>
                </c:pt>
                <c:pt idx="52" formatCode="0.00">
                  <c:v>0</c:v>
                </c:pt>
              </c:numCache>
            </c:numRef>
          </c:val>
          <c:smooth val="0"/>
          <c:extLst xmlns:c16r2="http://schemas.microsoft.com/office/drawing/2015/06/chart">
            <c:ext xmlns:c16="http://schemas.microsoft.com/office/drawing/2014/chart" uri="{C3380CC4-5D6E-409C-BE32-E72D297353CC}">
              <c16:uniqueId val="{00000000-B9C1-42E4-AE0D-5BE31C5514A6}"/>
            </c:ext>
          </c:extLst>
        </c:ser>
        <c:ser>
          <c:idx val="1"/>
          <c:order val="1"/>
          <c:tx>
            <c:strRef>
              <c:f>'graf 2021'!$E$1</c:f>
              <c:strCache>
                <c:ptCount val="1"/>
                <c:pt idx="0">
                  <c:v>Leto 2020</c:v>
                </c:pt>
              </c:strCache>
            </c:strRef>
          </c:tx>
          <c:spPr>
            <a:ln cap="flat">
              <a:solidFill>
                <a:srgbClr val="00B050"/>
              </a:solidFill>
              <a:prstDash val="solid"/>
            </a:ln>
          </c:spPr>
          <c:marker>
            <c:symbol val="none"/>
          </c:marker>
          <c:cat>
            <c:strRef>
              <c:f>'graf 2021'!$A$2:$A$62</c:f>
              <c:strCache>
                <c:ptCount val="61"/>
                <c:pt idx="0">
                  <c:v>23.</c:v>
                </c:pt>
                <c:pt idx="1">
                  <c:v>24.</c:v>
                </c:pt>
                <c:pt idx="2">
                  <c:v>25.</c:v>
                </c:pt>
                <c:pt idx="3">
                  <c:v>26.</c:v>
                </c:pt>
                <c:pt idx="4">
                  <c:v>27.</c:v>
                </c:pt>
                <c:pt idx="5">
                  <c:v>28.</c:v>
                </c:pt>
                <c:pt idx="6">
                  <c:v>29.</c:v>
                </c:pt>
                <c:pt idx="7">
                  <c:v>30.</c:v>
                </c:pt>
                <c:pt idx="8">
                  <c:v>1.</c:v>
                </c:pt>
                <c:pt idx="9">
                  <c:v>2.</c:v>
                </c:pt>
                <c:pt idx="10">
                  <c:v>3.</c:v>
                </c:pt>
                <c:pt idx="11">
                  <c:v>4.</c:v>
                </c:pt>
                <c:pt idx="12">
                  <c:v>5.</c:v>
                </c:pt>
                <c:pt idx="13">
                  <c:v>6.</c:v>
                </c:pt>
                <c:pt idx="14">
                  <c:v>7.</c:v>
                </c:pt>
                <c:pt idx="15">
                  <c:v>8.</c:v>
                </c:pt>
                <c:pt idx="16">
                  <c:v>9.</c:v>
                </c:pt>
                <c:pt idx="17">
                  <c:v>10.</c:v>
                </c:pt>
                <c:pt idx="18">
                  <c:v>11.</c:v>
                </c:pt>
                <c:pt idx="19">
                  <c:v>12.</c:v>
                </c:pt>
                <c:pt idx="20">
                  <c:v>13.</c:v>
                </c:pt>
                <c:pt idx="21">
                  <c:v>14.</c:v>
                </c:pt>
                <c:pt idx="22">
                  <c:v>15.</c:v>
                </c:pt>
                <c:pt idx="23">
                  <c:v>16.</c:v>
                </c:pt>
                <c:pt idx="24">
                  <c:v>17.</c:v>
                </c:pt>
                <c:pt idx="25">
                  <c:v>18.</c:v>
                </c:pt>
                <c:pt idx="26">
                  <c:v>19.</c:v>
                </c:pt>
                <c:pt idx="27">
                  <c:v>20.</c:v>
                </c:pt>
                <c:pt idx="28">
                  <c:v>21.</c:v>
                </c:pt>
                <c:pt idx="29">
                  <c:v>22.</c:v>
                </c:pt>
                <c:pt idx="30">
                  <c:v>23.</c:v>
                </c:pt>
                <c:pt idx="31">
                  <c:v>24.</c:v>
                </c:pt>
                <c:pt idx="32">
                  <c:v>25.</c:v>
                </c:pt>
                <c:pt idx="33">
                  <c:v>26.</c:v>
                </c:pt>
                <c:pt idx="34">
                  <c:v>27.</c:v>
                </c:pt>
                <c:pt idx="35">
                  <c:v>28.</c:v>
                </c:pt>
                <c:pt idx="36">
                  <c:v>29.</c:v>
                </c:pt>
                <c:pt idx="37">
                  <c:v>30.</c:v>
                </c:pt>
                <c:pt idx="38">
                  <c:v>31.</c:v>
                </c:pt>
                <c:pt idx="39">
                  <c:v>1.</c:v>
                </c:pt>
                <c:pt idx="40">
                  <c:v>2.</c:v>
                </c:pt>
                <c:pt idx="41">
                  <c:v>3.</c:v>
                </c:pt>
                <c:pt idx="42">
                  <c:v>4.</c:v>
                </c:pt>
                <c:pt idx="43">
                  <c:v>5.</c:v>
                </c:pt>
                <c:pt idx="44">
                  <c:v>6.</c:v>
                </c:pt>
                <c:pt idx="45">
                  <c:v>7.</c:v>
                </c:pt>
                <c:pt idx="46">
                  <c:v>8.</c:v>
                </c:pt>
                <c:pt idx="47">
                  <c:v>9.</c:v>
                </c:pt>
                <c:pt idx="48">
                  <c:v>10.</c:v>
                </c:pt>
                <c:pt idx="49">
                  <c:v>11.</c:v>
                </c:pt>
                <c:pt idx="50">
                  <c:v>12.</c:v>
                </c:pt>
                <c:pt idx="51">
                  <c:v>13.</c:v>
                </c:pt>
                <c:pt idx="52">
                  <c:v>14.</c:v>
                </c:pt>
                <c:pt idx="53">
                  <c:v>15.</c:v>
                </c:pt>
                <c:pt idx="54">
                  <c:v>16.</c:v>
                </c:pt>
                <c:pt idx="55">
                  <c:v>17.</c:v>
                </c:pt>
                <c:pt idx="56">
                  <c:v>18.</c:v>
                </c:pt>
                <c:pt idx="57">
                  <c:v>19.</c:v>
                </c:pt>
                <c:pt idx="58">
                  <c:v>20.</c:v>
                </c:pt>
                <c:pt idx="59">
                  <c:v>21.</c:v>
                </c:pt>
                <c:pt idx="60">
                  <c:v>22</c:v>
                </c:pt>
              </c:strCache>
            </c:strRef>
          </c:cat>
          <c:val>
            <c:numRef>
              <c:f>'graf 2021'!$E$2:$E$62</c:f>
              <c:numCache>
                <c:formatCode>General</c:formatCode>
                <c:ptCount val="61"/>
                <c:pt idx="4" formatCode="0.00">
                  <c:v>0.33</c:v>
                </c:pt>
                <c:pt idx="5" formatCode="0.00">
                  <c:v>0.33</c:v>
                </c:pt>
                <c:pt idx="6" formatCode="0.00">
                  <c:v>1.08</c:v>
                </c:pt>
                <c:pt idx="7" formatCode="0.00">
                  <c:v>2.02</c:v>
                </c:pt>
                <c:pt idx="8" formatCode="0.00">
                  <c:v>2.02</c:v>
                </c:pt>
                <c:pt idx="9" formatCode="0.00">
                  <c:v>2.02</c:v>
                </c:pt>
                <c:pt idx="10" formatCode="0.00">
                  <c:v>2.02</c:v>
                </c:pt>
                <c:pt idx="11" formatCode="0.00">
                  <c:v>5.3</c:v>
                </c:pt>
                <c:pt idx="12" formatCode="0.00">
                  <c:v>5.3</c:v>
                </c:pt>
                <c:pt idx="13" formatCode="0.00">
                  <c:v>3.37</c:v>
                </c:pt>
                <c:pt idx="14" formatCode="0.00">
                  <c:v>3.37</c:v>
                </c:pt>
                <c:pt idx="15" formatCode="0.00">
                  <c:v>6.93</c:v>
                </c:pt>
                <c:pt idx="16" formatCode="0.00">
                  <c:v>6.93</c:v>
                </c:pt>
                <c:pt idx="17" formatCode="0.00">
                  <c:v>6.93</c:v>
                </c:pt>
                <c:pt idx="18" formatCode="0.00">
                  <c:v>3.58</c:v>
                </c:pt>
                <c:pt idx="19" formatCode="0.00">
                  <c:v>3.58</c:v>
                </c:pt>
                <c:pt idx="20" formatCode="0.00">
                  <c:v>10.75</c:v>
                </c:pt>
                <c:pt idx="21" formatCode="0.00">
                  <c:v>10.75</c:v>
                </c:pt>
                <c:pt idx="22">
                  <c:v>4.92</c:v>
                </c:pt>
                <c:pt idx="23">
                  <c:v>4.92</c:v>
                </c:pt>
                <c:pt idx="24">
                  <c:v>4.92</c:v>
                </c:pt>
                <c:pt idx="25">
                  <c:v>4.92</c:v>
                </c:pt>
                <c:pt idx="26">
                  <c:v>4.92</c:v>
                </c:pt>
                <c:pt idx="27">
                  <c:v>4.2300000000000004</c:v>
                </c:pt>
                <c:pt idx="28">
                  <c:v>4.2300000000000004</c:v>
                </c:pt>
                <c:pt idx="29" formatCode="0.00">
                  <c:v>1.72</c:v>
                </c:pt>
                <c:pt idx="30" formatCode="0.00">
                  <c:v>1.72</c:v>
                </c:pt>
                <c:pt idx="31" formatCode="0.00">
                  <c:v>1.72</c:v>
                </c:pt>
                <c:pt idx="32" formatCode="0.00">
                  <c:v>2.25</c:v>
                </c:pt>
                <c:pt idx="33" formatCode="0.00">
                  <c:v>0.66</c:v>
                </c:pt>
                <c:pt idx="34" formatCode="0.00">
                  <c:v>0.66</c:v>
                </c:pt>
                <c:pt idx="35" formatCode="0.00">
                  <c:v>0.18</c:v>
                </c:pt>
                <c:pt idx="36" formatCode="0.00">
                  <c:v>0.18</c:v>
                </c:pt>
                <c:pt idx="37" formatCode="0.00">
                  <c:v>0.18</c:v>
                </c:pt>
                <c:pt idx="38" formatCode="0.00">
                  <c:v>0.18</c:v>
                </c:pt>
                <c:pt idx="39" formatCode="0.00">
                  <c:v>0.16</c:v>
                </c:pt>
                <c:pt idx="40" formatCode="0.00">
                  <c:v>0.16</c:v>
                </c:pt>
                <c:pt idx="41" formatCode="0.00">
                  <c:v>0.04</c:v>
                </c:pt>
                <c:pt idx="42" formatCode="0.00">
                  <c:v>0.04</c:v>
                </c:pt>
              </c:numCache>
            </c:numRef>
          </c:val>
          <c:smooth val="0"/>
          <c:extLst xmlns:c16r2="http://schemas.microsoft.com/office/drawing/2015/06/chart">
            <c:ext xmlns:c16="http://schemas.microsoft.com/office/drawing/2014/chart" uri="{C3380CC4-5D6E-409C-BE32-E72D297353CC}">
              <c16:uniqueId val="{00000001-B9C1-42E4-AE0D-5BE31C5514A6}"/>
            </c:ext>
          </c:extLst>
        </c:ser>
        <c:ser>
          <c:idx val="2"/>
          <c:order val="2"/>
          <c:tx>
            <c:strRef>
              <c:f>'graf 2021'!$F$1</c:f>
              <c:strCache>
                <c:ptCount val="1"/>
                <c:pt idx="0">
                  <c:v>Leto 2021</c:v>
                </c:pt>
              </c:strCache>
            </c:strRef>
          </c:tx>
          <c:spPr>
            <a:ln>
              <a:solidFill>
                <a:srgbClr val="FF0000"/>
              </a:solidFill>
            </a:ln>
          </c:spPr>
          <c:marker>
            <c:symbol val="none"/>
          </c:marker>
          <c:cat>
            <c:strRef>
              <c:f>'graf 2021'!$A$2:$A$62</c:f>
              <c:strCache>
                <c:ptCount val="61"/>
                <c:pt idx="0">
                  <c:v>23.</c:v>
                </c:pt>
                <c:pt idx="1">
                  <c:v>24.</c:v>
                </c:pt>
                <c:pt idx="2">
                  <c:v>25.</c:v>
                </c:pt>
                <c:pt idx="3">
                  <c:v>26.</c:v>
                </c:pt>
                <c:pt idx="4">
                  <c:v>27.</c:v>
                </c:pt>
                <c:pt idx="5">
                  <c:v>28.</c:v>
                </c:pt>
                <c:pt idx="6">
                  <c:v>29.</c:v>
                </c:pt>
                <c:pt idx="7">
                  <c:v>30.</c:v>
                </c:pt>
                <c:pt idx="8">
                  <c:v>1.</c:v>
                </c:pt>
                <c:pt idx="9">
                  <c:v>2.</c:v>
                </c:pt>
                <c:pt idx="10">
                  <c:v>3.</c:v>
                </c:pt>
                <c:pt idx="11">
                  <c:v>4.</c:v>
                </c:pt>
                <c:pt idx="12">
                  <c:v>5.</c:v>
                </c:pt>
                <c:pt idx="13">
                  <c:v>6.</c:v>
                </c:pt>
                <c:pt idx="14">
                  <c:v>7.</c:v>
                </c:pt>
                <c:pt idx="15">
                  <c:v>8.</c:v>
                </c:pt>
                <c:pt idx="16">
                  <c:v>9.</c:v>
                </c:pt>
                <c:pt idx="17">
                  <c:v>10.</c:v>
                </c:pt>
                <c:pt idx="18">
                  <c:v>11.</c:v>
                </c:pt>
                <c:pt idx="19">
                  <c:v>12.</c:v>
                </c:pt>
                <c:pt idx="20">
                  <c:v>13.</c:v>
                </c:pt>
                <c:pt idx="21">
                  <c:v>14.</c:v>
                </c:pt>
                <c:pt idx="22">
                  <c:v>15.</c:v>
                </c:pt>
                <c:pt idx="23">
                  <c:v>16.</c:v>
                </c:pt>
                <c:pt idx="24">
                  <c:v>17.</c:v>
                </c:pt>
                <c:pt idx="25">
                  <c:v>18.</c:v>
                </c:pt>
                <c:pt idx="26">
                  <c:v>19.</c:v>
                </c:pt>
                <c:pt idx="27">
                  <c:v>20.</c:v>
                </c:pt>
                <c:pt idx="28">
                  <c:v>21.</c:v>
                </c:pt>
                <c:pt idx="29">
                  <c:v>22.</c:v>
                </c:pt>
                <c:pt idx="30">
                  <c:v>23.</c:v>
                </c:pt>
                <c:pt idx="31">
                  <c:v>24.</c:v>
                </c:pt>
                <c:pt idx="32">
                  <c:v>25.</c:v>
                </c:pt>
                <c:pt idx="33">
                  <c:v>26.</c:v>
                </c:pt>
                <c:pt idx="34">
                  <c:v>27.</c:v>
                </c:pt>
                <c:pt idx="35">
                  <c:v>28.</c:v>
                </c:pt>
                <c:pt idx="36">
                  <c:v>29.</c:v>
                </c:pt>
                <c:pt idx="37">
                  <c:v>30.</c:v>
                </c:pt>
                <c:pt idx="38">
                  <c:v>31.</c:v>
                </c:pt>
                <c:pt idx="39">
                  <c:v>1.</c:v>
                </c:pt>
                <c:pt idx="40">
                  <c:v>2.</c:v>
                </c:pt>
                <c:pt idx="41">
                  <c:v>3.</c:v>
                </c:pt>
                <c:pt idx="42">
                  <c:v>4.</c:v>
                </c:pt>
                <c:pt idx="43">
                  <c:v>5.</c:v>
                </c:pt>
                <c:pt idx="44">
                  <c:v>6.</c:v>
                </c:pt>
                <c:pt idx="45">
                  <c:v>7.</c:v>
                </c:pt>
                <c:pt idx="46">
                  <c:v>8.</c:v>
                </c:pt>
                <c:pt idx="47">
                  <c:v>9.</c:v>
                </c:pt>
                <c:pt idx="48">
                  <c:v>10.</c:v>
                </c:pt>
                <c:pt idx="49">
                  <c:v>11.</c:v>
                </c:pt>
                <c:pt idx="50">
                  <c:v>12.</c:v>
                </c:pt>
                <c:pt idx="51">
                  <c:v>13.</c:v>
                </c:pt>
                <c:pt idx="52">
                  <c:v>14.</c:v>
                </c:pt>
                <c:pt idx="53">
                  <c:v>15.</c:v>
                </c:pt>
                <c:pt idx="54">
                  <c:v>16.</c:v>
                </c:pt>
                <c:pt idx="55">
                  <c:v>17.</c:v>
                </c:pt>
                <c:pt idx="56">
                  <c:v>18.</c:v>
                </c:pt>
                <c:pt idx="57">
                  <c:v>19.</c:v>
                </c:pt>
                <c:pt idx="58">
                  <c:v>20.</c:v>
                </c:pt>
                <c:pt idx="59">
                  <c:v>21.</c:v>
                </c:pt>
                <c:pt idx="60">
                  <c:v>22</c:v>
                </c:pt>
              </c:strCache>
            </c:strRef>
          </c:cat>
          <c:val>
            <c:numRef>
              <c:f>'graf 2021'!$F$2:$F$62</c:f>
              <c:numCache>
                <c:formatCode>General</c:formatCode>
                <c:ptCount val="61"/>
                <c:pt idx="22">
                  <c:v>0.252</c:v>
                </c:pt>
                <c:pt idx="23">
                  <c:v>0.252</c:v>
                </c:pt>
                <c:pt idx="24">
                  <c:v>0.252</c:v>
                </c:pt>
                <c:pt idx="25">
                  <c:v>0.252</c:v>
                </c:pt>
                <c:pt idx="26">
                  <c:v>0.252</c:v>
                </c:pt>
                <c:pt idx="27">
                  <c:v>0.73</c:v>
                </c:pt>
                <c:pt idx="28">
                  <c:v>0.48599999999999999</c:v>
                </c:pt>
                <c:pt idx="29">
                  <c:v>0.48599999999999999</c:v>
                </c:pt>
                <c:pt idx="30">
                  <c:v>0.48599999999999999</c:v>
                </c:pt>
                <c:pt idx="31">
                  <c:v>0.46500000000000002</c:v>
                </c:pt>
                <c:pt idx="32">
                  <c:v>0.46500000000000002</c:v>
                </c:pt>
                <c:pt idx="33">
                  <c:v>1.4</c:v>
                </c:pt>
                <c:pt idx="34">
                  <c:v>1.4</c:v>
                </c:pt>
                <c:pt idx="35">
                  <c:v>1.31</c:v>
                </c:pt>
                <c:pt idx="36">
                  <c:v>1.31</c:v>
                </c:pt>
                <c:pt idx="37">
                  <c:v>1.31</c:v>
                </c:pt>
                <c:pt idx="38">
                  <c:v>0.73</c:v>
                </c:pt>
                <c:pt idx="39">
                  <c:v>0.73</c:v>
                </c:pt>
                <c:pt idx="40">
                  <c:v>1.4650000000000001</c:v>
                </c:pt>
                <c:pt idx="41">
                  <c:v>1.4650000000000001</c:v>
                </c:pt>
                <c:pt idx="42">
                  <c:v>0.95</c:v>
                </c:pt>
                <c:pt idx="43">
                  <c:v>0.95</c:v>
                </c:pt>
                <c:pt idx="44">
                  <c:v>0.95</c:v>
                </c:pt>
                <c:pt idx="45">
                  <c:v>1.31</c:v>
                </c:pt>
                <c:pt idx="46">
                  <c:v>1.31</c:v>
                </c:pt>
                <c:pt idx="47">
                  <c:v>1.31</c:v>
                </c:pt>
                <c:pt idx="48">
                  <c:v>0.58199999999999996</c:v>
                </c:pt>
                <c:pt idx="49">
                  <c:v>0.58199999999999996</c:v>
                </c:pt>
                <c:pt idx="50">
                  <c:v>0.58199999999999996</c:v>
                </c:pt>
                <c:pt idx="51">
                  <c:v>0.58199999999999996</c:v>
                </c:pt>
                <c:pt idx="52">
                  <c:v>0.7</c:v>
                </c:pt>
                <c:pt idx="53">
                  <c:v>0.7</c:v>
                </c:pt>
                <c:pt idx="54">
                  <c:v>0.37</c:v>
                </c:pt>
                <c:pt idx="55">
                  <c:v>0.37</c:v>
                </c:pt>
                <c:pt idx="56">
                  <c:v>0.28599999999999998</c:v>
                </c:pt>
                <c:pt idx="57">
                  <c:v>0.28599999999999998</c:v>
                </c:pt>
                <c:pt idx="58">
                  <c:v>0.28599999999999998</c:v>
                </c:pt>
              </c:numCache>
            </c:numRef>
          </c:val>
          <c:smooth val="0"/>
          <c:extLst xmlns:c16r2="http://schemas.microsoft.com/office/drawing/2015/06/chart">
            <c:ext xmlns:c16="http://schemas.microsoft.com/office/drawing/2014/chart" uri="{C3380CC4-5D6E-409C-BE32-E72D297353CC}">
              <c16:uniqueId val="{00000002-B9C1-42E4-AE0D-5BE31C5514A6}"/>
            </c:ext>
          </c:extLst>
        </c:ser>
        <c:dLbls>
          <c:showLegendKey val="0"/>
          <c:showVal val="0"/>
          <c:showCatName val="0"/>
          <c:showSerName val="0"/>
          <c:showPercent val="0"/>
          <c:showBubbleSize val="0"/>
        </c:dLbls>
        <c:smooth val="0"/>
        <c:axId val="514049512"/>
        <c:axId val="514049120"/>
      </c:lineChart>
      <c:catAx>
        <c:axId val="514049512"/>
        <c:scaling>
          <c:orientation val="minMax"/>
        </c:scaling>
        <c:delete val="0"/>
        <c:axPos val="b"/>
        <c:title>
          <c:tx>
            <c:rich>
              <a:bodyPr/>
              <a:lstStyle/>
              <a:p>
                <a:pPr>
                  <a:defRPr sz="1000" b="0" i="0" u="none" strike="noStrike" baseline="0">
                    <a:solidFill>
                      <a:srgbClr val="000000"/>
                    </a:solidFill>
                    <a:latin typeface="Calibri"/>
                    <a:ea typeface="Calibri"/>
                    <a:cs typeface="Calibri"/>
                  </a:defRPr>
                </a:pPr>
                <a:r>
                  <a:rPr lang="sl-SI"/>
                  <a:t>april                                                              maj</a:t>
                </a:r>
              </a:p>
            </c:rich>
          </c:tx>
          <c:layout>
            <c:manualLayout>
              <c:xMode val="edge"/>
              <c:yMode val="edge"/>
              <c:x val="0.15534807038009138"/>
              <c:y val="0.93549932472033226"/>
            </c:manualLayout>
          </c:layout>
          <c:overlay val="0"/>
        </c:title>
        <c:numFmt formatCode="General" sourceLinked="1"/>
        <c:majorTickMark val="none"/>
        <c:minorTickMark val="none"/>
        <c:tickLblPos val="nextTo"/>
        <c:txPr>
          <a:bodyPr rot="0" vert="horz"/>
          <a:lstStyle/>
          <a:p>
            <a:pPr>
              <a:defRPr sz="1000" b="0" i="0" u="none" strike="noStrike" baseline="0">
                <a:solidFill>
                  <a:srgbClr val="000000"/>
                </a:solidFill>
                <a:latin typeface="Calibri"/>
                <a:ea typeface="Calibri"/>
                <a:cs typeface="Calibri"/>
              </a:defRPr>
            </a:pPr>
            <a:endParaRPr lang="sl-SI"/>
          </a:p>
        </c:txPr>
        <c:crossAx val="514049120"/>
        <c:crosses val="autoZero"/>
        <c:auto val="1"/>
        <c:lblAlgn val="ctr"/>
        <c:lblOffset val="100"/>
        <c:noMultiLvlLbl val="0"/>
      </c:catAx>
      <c:valAx>
        <c:axId val="514049120"/>
        <c:scaling>
          <c:orientation val="minMax"/>
        </c:scaling>
        <c:delete val="0"/>
        <c:axPos val="l"/>
        <c:majorGridlines/>
        <c:title>
          <c:tx>
            <c:rich>
              <a:bodyPr/>
              <a:lstStyle/>
              <a:p>
                <a:pPr>
                  <a:defRPr sz="1000" b="0" i="0" u="none" strike="noStrike" baseline="0">
                    <a:solidFill>
                      <a:srgbClr val="000000"/>
                    </a:solidFill>
                    <a:latin typeface="Calibri"/>
                    <a:ea typeface="Calibri"/>
                    <a:cs typeface="Calibri"/>
                  </a:defRPr>
                </a:pPr>
                <a:r>
                  <a:rPr lang="sl-SI"/>
                  <a:t>Št. krilatih uši/dan</a:t>
                </a:r>
              </a:p>
            </c:rich>
          </c:tx>
          <c:overlay val="0"/>
        </c:title>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sl-SI"/>
          </a:p>
        </c:txPr>
        <c:crossAx val="514049512"/>
        <c:crosses val="autoZero"/>
        <c:crossBetween val="between"/>
      </c:valAx>
    </c:plotArea>
    <c:legend>
      <c:legendPos val="r"/>
      <c:overlay val="0"/>
      <c:spPr>
        <a:ln>
          <a:solidFill>
            <a:schemeClr val="tx1"/>
          </a:solidFill>
        </a:ln>
      </c:spPr>
      <c:txPr>
        <a:bodyPr/>
        <a:lstStyle/>
        <a:p>
          <a:pPr>
            <a:defRPr sz="845" b="0" i="0" u="none" strike="noStrike" baseline="0">
              <a:solidFill>
                <a:srgbClr val="000000"/>
              </a:solidFill>
              <a:latin typeface="Calibri"/>
              <a:ea typeface="Calibri"/>
              <a:cs typeface="Calibri"/>
            </a:defRPr>
          </a:pPr>
          <a:endParaRPr lang="sl-SI"/>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sl-SI"/>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'graf Žalec-Roje 2021'!$Q$1</c:f>
              <c:strCache>
                <c:ptCount val="1"/>
                <c:pt idx="0">
                  <c:v>Roje, 2020</c:v>
                </c:pt>
              </c:strCache>
            </c:strRef>
          </c:tx>
          <c:spPr>
            <a:solidFill>
              <a:srgbClr val="00B0F0"/>
            </a:solidFill>
            <a:ln w="22225">
              <a:solidFill>
                <a:srgbClr val="0070C0"/>
              </a:solidFill>
              <a:prstDash val="solid"/>
            </a:ln>
          </c:spPr>
          <c:invertIfNegative val="0"/>
          <c:cat>
            <c:numRef>
              <c:f>'graf Žalec-Roje 2021'!$B$5:$B$56</c:f>
              <c:numCache>
                <c:formatCode>General</c:formatCode>
                <c:ptCount val="52"/>
                <c:pt idx="0">
                  <c:v>5</c:v>
                </c:pt>
                <c:pt idx="1">
                  <c:v>6</c:v>
                </c:pt>
                <c:pt idx="2">
                  <c:v>7</c:v>
                </c:pt>
                <c:pt idx="3">
                  <c:v>8</c:v>
                </c:pt>
                <c:pt idx="4">
                  <c:v>9</c:v>
                </c:pt>
                <c:pt idx="5">
                  <c:v>10</c:v>
                </c:pt>
                <c:pt idx="6">
                  <c:v>11</c:v>
                </c:pt>
                <c:pt idx="7">
                  <c:v>12</c:v>
                </c:pt>
                <c:pt idx="8">
                  <c:v>13</c:v>
                </c:pt>
                <c:pt idx="9">
                  <c:v>14</c:v>
                </c:pt>
                <c:pt idx="10">
                  <c:v>15</c:v>
                </c:pt>
                <c:pt idx="11">
                  <c:v>16</c:v>
                </c:pt>
                <c:pt idx="12">
                  <c:v>17</c:v>
                </c:pt>
                <c:pt idx="13">
                  <c:v>18</c:v>
                </c:pt>
                <c:pt idx="14">
                  <c:v>19</c:v>
                </c:pt>
                <c:pt idx="15">
                  <c:v>20</c:v>
                </c:pt>
                <c:pt idx="16">
                  <c:v>21</c:v>
                </c:pt>
                <c:pt idx="17">
                  <c:v>22</c:v>
                </c:pt>
                <c:pt idx="18">
                  <c:v>23</c:v>
                </c:pt>
                <c:pt idx="19">
                  <c:v>24</c:v>
                </c:pt>
                <c:pt idx="20">
                  <c:v>25</c:v>
                </c:pt>
                <c:pt idx="21">
                  <c:v>26</c:v>
                </c:pt>
                <c:pt idx="22">
                  <c:v>27</c:v>
                </c:pt>
                <c:pt idx="23">
                  <c:v>28</c:v>
                </c:pt>
                <c:pt idx="24">
                  <c:v>29</c:v>
                </c:pt>
                <c:pt idx="25">
                  <c:v>30</c:v>
                </c:pt>
                <c:pt idx="26">
                  <c:v>31</c:v>
                </c:pt>
                <c:pt idx="27">
                  <c:v>1</c:v>
                </c:pt>
                <c:pt idx="28">
                  <c:v>2</c:v>
                </c:pt>
                <c:pt idx="29">
                  <c:v>3</c:v>
                </c:pt>
                <c:pt idx="30">
                  <c:v>4</c:v>
                </c:pt>
                <c:pt idx="31">
                  <c:v>5</c:v>
                </c:pt>
                <c:pt idx="32">
                  <c:v>6</c:v>
                </c:pt>
                <c:pt idx="33">
                  <c:v>7</c:v>
                </c:pt>
                <c:pt idx="34">
                  <c:v>8</c:v>
                </c:pt>
                <c:pt idx="35">
                  <c:v>9</c:v>
                </c:pt>
                <c:pt idx="36">
                  <c:v>10</c:v>
                </c:pt>
                <c:pt idx="37">
                  <c:v>11</c:v>
                </c:pt>
                <c:pt idx="38">
                  <c:v>12</c:v>
                </c:pt>
                <c:pt idx="39">
                  <c:v>13</c:v>
                </c:pt>
                <c:pt idx="40">
                  <c:v>14</c:v>
                </c:pt>
                <c:pt idx="41">
                  <c:v>15</c:v>
                </c:pt>
                <c:pt idx="42">
                  <c:v>16</c:v>
                </c:pt>
                <c:pt idx="43">
                  <c:v>17</c:v>
                </c:pt>
                <c:pt idx="44">
                  <c:v>18</c:v>
                </c:pt>
                <c:pt idx="45">
                  <c:v>19</c:v>
                </c:pt>
                <c:pt idx="46">
                  <c:v>20</c:v>
                </c:pt>
                <c:pt idx="47">
                  <c:v>21</c:v>
                </c:pt>
                <c:pt idx="48">
                  <c:v>22</c:v>
                </c:pt>
                <c:pt idx="49">
                  <c:v>23</c:v>
                </c:pt>
                <c:pt idx="50">
                  <c:v>24</c:v>
                </c:pt>
                <c:pt idx="51">
                  <c:v>25</c:v>
                </c:pt>
              </c:numCache>
            </c:numRef>
          </c:cat>
          <c:val>
            <c:numRef>
              <c:f>'graf Žalec-Roje 2021'!$Q$5:$Q$56</c:f>
              <c:numCache>
                <c:formatCode>General</c:formatCode>
                <c:ptCount val="52"/>
                <c:pt idx="0">
                  <c:v>1</c:v>
                </c:pt>
                <c:pt idx="1">
                  <c:v>0</c:v>
                </c:pt>
                <c:pt idx="2">
                  <c:v>0</c:v>
                </c:pt>
                <c:pt idx="3">
                  <c:v>0</c:v>
                </c:pt>
                <c:pt idx="4">
                  <c:v>1</c:v>
                </c:pt>
                <c:pt idx="5">
                  <c:v>4</c:v>
                </c:pt>
                <c:pt idx="6">
                  <c:v>0</c:v>
                </c:pt>
                <c:pt idx="7">
                  <c:v>0</c:v>
                </c:pt>
                <c:pt idx="8">
                  <c:v>0</c:v>
                </c:pt>
                <c:pt idx="9">
                  <c:v>5</c:v>
                </c:pt>
                <c:pt idx="10">
                  <c:v>0</c:v>
                </c:pt>
                <c:pt idx="11">
                  <c:v>0</c:v>
                </c:pt>
                <c:pt idx="12">
                  <c:v>0</c:v>
                </c:pt>
                <c:pt idx="13">
                  <c:v>3</c:v>
                </c:pt>
                <c:pt idx="14">
                  <c:v>3</c:v>
                </c:pt>
                <c:pt idx="15">
                  <c:v>0</c:v>
                </c:pt>
                <c:pt idx="16">
                  <c:v>1</c:v>
                </c:pt>
                <c:pt idx="17">
                  <c:v>0</c:v>
                </c:pt>
                <c:pt idx="18">
                  <c:v>4</c:v>
                </c:pt>
                <c:pt idx="19">
                  <c:v>7</c:v>
                </c:pt>
                <c:pt idx="20">
                  <c:v>0</c:v>
                </c:pt>
                <c:pt idx="21">
                  <c:v>6</c:v>
                </c:pt>
                <c:pt idx="22">
                  <c:v>0</c:v>
                </c:pt>
                <c:pt idx="23">
                  <c:v>0</c:v>
                </c:pt>
                <c:pt idx="26">
                  <c:v>2</c:v>
                </c:pt>
                <c:pt idx="27">
                  <c:v>0</c:v>
                </c:pt>
                <c:pt idx="28">
                  <c:v>0</c:v>
                </c:pt>
                <c:pt idx="29">
                  <c:v>3</c:v>
                </c:pt>
                <c:pt idx="30">
                  <c:v>2</c:v>
                </c:pt>
                <c:pt idx="31">
                  <c:v>4</c:v>
                </c:pt>
                <c:pt idx="32">
                  <c:v>1</c:v>
                </c:pt>
                <c:pt idx="33">
                  <c:v>14</c:v>
                </c:pt>
                <c:pt idx="35">
                  <c:v>2</c:v>
                </c:pt>
                <c:pt idx="36">
                  <c:v>3</c:v>
                </c:pt>
                <c:pt idx="37">
                  <c:v>8</c:v>
                </c:pt>
                <c:pt idx="38">
                  <c:v>15</c:v>
                </c:pt>
                <c:pt idx="39">
                  <c:v>18</c:v>
                </c:pt>
                <c:pt idx="40">
                  <c:v>1</c:v>
                </c:pt>
                <c:pt idx="41">
                  <c:v>2</c:v>
                </c:pt>
                <c:pt idx="42">
                  <c:v>0</c:v>
                </c:pt>
                <c:pt idx="43">
                  <c:v>3</c:v>
                </c:pt>
                <c:pt idx="44">
                  <c:v>0</c:v>
                </c:pt>
                <c:pt idx="45">
                  <c:v>0</c:v>
                </c:pt>
                <c:pt idx="46">
                  <c:v>1</c:v>
                </c:pt>
                <c:pt idx="47">
                  <c:v>0</c:v>
                </c:pt>
                <c:pt idx="48">
                  <c:v>2</c:v>
                </c:pt>
                <c:pt idx="49">
                  <c:v>0</c:v>
                </c:pt>
                <c:pt idx="50">
                  <c:v>1</c:v>
                </c:pt>
                <c:pt idx="51">
                  <c:v>1</c:v>
                </c:pt>
              </c:numCache>
            </c:numRef>
          </c:val>
          <c:extLst xmlns:c16r2="http://schemas.microsoft.com/office/drawing/2015/06/chart">
            <c:ext xmlns:c16="http://schemas.microsoft.com/office/drawing/2014/chart" uri="{C3380CC4-5D6E-409C-BE32-E72D297353CC}">
              <c16:uniqueId val="{00000000-2F2C-4CEA-9A95-4217FBD85548}"/>
            </c:ext>
          </c:extLst>
        </c:ser>
        <c:ser>
          <c:idx val="1"/>
          <c:order val="1"/>
          <c:tx>
            <c:strRef>
              <c:f>'graf Žalec-Roje 2021'!$R$1</c:f>
              <c:strCache>
                <c:ptCount val="1"/>
                <c:pt idx="0">
                  <c:v>Žalec-IHPS, 2021</c:v>
                </c:pt>
              </c:strCache>
            </c:strRef>
          </c:tx>
          <c:spPr>
            <a:solidFill>
              <a:srgbClr val="00B050"/>
            </a:solidFill>
            <a:ln cap="flat" cmpd="sng">
              <a:noFill/>
              <a:prstDash val="sysDash"/>
            </a:ln>
          </c:spPr>
          <c:invertIfNegative val="0"/>
          <c:cat>
            <c:numRef>
              <c:f>'graf Žalec-Roje 2021'!$B$5:$B$56</c:f>
              <c:numCache>
                <c:formatCode>General</c:formatCode>
                <c:ptCount val="52"/>
                <c:pt idx="0">
                  <c:v>5</c:v>
                </c:pt>
                <c:pt idx="1">
                  <c:v>6</c:v>
                </c:pt>
                <c:pt idx="2">
                  <c:v>7</c:v>
                </c:pt>
                <c:pt idx="3">
                  <c:v>8</c:v>
                </c:pt>
                <c:pt idx="4">
                  <c:v>9</c:v>
                </c:pt>
                <c:pt idx="5">
                  <c:v>10</c:v>
                </c:pt>
                <c:pt idx="6">
                  <c:v>11</c:v>
                </c:pt>
                <c:pt idx="7">
                  <c:v>12</c:v>
                </c:pt>
                <c:pt idx="8">
                  <c:v>13</c:v>
                </c:pt>
                <c:pt idx="9">
                  <c:v>14</c:v>
                </c:pt>
                <c:pt idx="10">
                  <c:v>15</c:v>
                </c:pt>
                <c:pt idx="11">
                  <c:v>16</c:v>
                </c:pt>
                <c:pt idx="12">
                  <c:v>17</c:v>
                </c:pt>
                <c:pt idx="13">
                  <c:v>18</c:v>
                </c:pt>
                <c:pt idx="14">
                  <c:v>19</c:v>
                </c:pt>
                <c:pt idx="15">
                  <c:v>20</c:v>
                </c:pt>
                <c:pt idx="16">
                  <c:v>21</c:v>
                </c:pt>
                <c:pt idx="17">
                  <c:v>22</c:v>
                </c:pt>
                <c:pt idx="18">
                  <c:v>23</c:v>
                </c:pt>
                <c:pt idx="19">
                  <c:v>24</c:v>
                </c:pt>
                <c:pt idx="20">
                  <c:v>25</c:v>
                </c:pt>
                <c:pt idx="21">
                  <c:v>26</c:v>
                </c:pt>
                <c:pt idx="22">
                  <c:v>27</c:v>
                </c:pt>
                <c:pt idx="23">
                  <c:v>28</c:v>
                </c:pt>
                <c:pt idx="24">
                  <c:v>29</c:v>
                </c:pt>
                <c:pt idx="25">
                  <c:v>30</c:v>
                </c:pt>
                <c:pt idx="26">
                  <c:v>31</c:v>
                </c:pt>
                <c:pt idx="27">
                  <c:v>1</c:v>
                </c:pt>
                <c:pt idx="28">
                  <c:v>2</c:v>
                </c:pt>
                <c:pt idx="29">
                  <c:v>3</c:v>
                </c:pt>
                <c:pt idx="30">
                  <c:v>4</c:v>
                </c:pt>
                <c:pt idx="31">
                  <c:v>5</c:v>
                </c:pt>
                <c:pt idx="32">
                  <c:v>6</c:v>
                </c:pt>
                <c:pt idx="33">
                  <c:v>7</c:v>
                </c:pt>
                <c:pt idx="34">
                  <c:v>8</c:v>
                </c:pt>
                <c:pt idx="35">
                  <c:v>9</c:v>
                </c:pt>
                <c:pt idx="36">
                  <c:v>10</c:v>
                </c:pt>
                <c:pt idx="37">
                  <c:v>11</c:v>
                </c:pt>
                <c:pt idx="38">
                  <c:v>12</c:v>
                </c:pt>
                <c:pt idx="39">
                  <c:v>13</c:v>
                </c:pt>
                <c:pt idx="40">
                  <c:v>14</c:v>
                </c:pt>
                <c:pt idx="41">
                  <c:v>15</c:v>
                </c:pt>
                <c:pt idx="42">
                  <c:v>16</c:v>
                </c:pt>
                <c:pt idx="43">
                  <c:v>17</c:v>
                </c:pt>
                <c:pt idx="44">
                  <c:v>18</c:v>
                </c:pt>
                <c:pt idx="45">
                  <c:v>19</c:v>
                </c:pt>
                <c:pt idx="46">
                  <c:v>20</c:v>
                </c:pt>
                <c:pt idx="47">
                  <c:v>21</c:v>
                </c:pt>
                <c:pt idx="48">
                  <c:v>22</c:v>
                </c:pt>
                <c:pt idx="49">
                  <c:v>23</c:v>
                </c:pt>
                <c:pt idx="50">
                  <c:v>24</c:v>
                </c:pt>
                <c:pt idx="51">
                  <c:v>25</c:v>
                </c:pt>
              </c:numCache>
            </c:numRef>
          </c:cat>
          <c:val>
            <c:numRef>
              <c:f>'graf Žalec-Roje 2021'!$R$5:$R$56</c:f>
              <c:numCache>
                <c:formatCode>General</c:formatCode>
                <c:ptCount val="52"/>
                <c:pt idx="20">
                  <c:v>0</c:v>
                </c:pt>
                <c:pt idx="21">
                  <c:v>0</c:v>
                </c:pt>
                <c:pt idx="22">
                  <c:v>0</c:v>
                </c:pt>
                <c:pt idx="23">
                  <c:v>1</c:v>
                </c:pt>
                <c:pt idx="24">
                  <c:v>0</c:v>
                </c:pt>
                <c:pt idx="25">
                  <c:v>0</c:v>
                </c:pt>
                <c:pt idx="26">
                  <c:v>0</c:v>
                </c:pt>
                <c:pt idx="27">
                  <c:v>0</c:v>
                </c:pt>
                <c:pt idx="28">
                  <c:v>1</c:v>
                </c:pt>
                <c:pt idx="29">
                  <c:v>1</c:v>
                </c:pt>
                <c:pt idx="30">
                  <c:v>0</c:v>
                </c:pt>
                <c:pt idx="31">
                  <c:v>0</c:v>
                </c:pt>
                <c:pt idx="32">
                  <c:v>0</c:v>
                </c:pt>
                <c:pt idx="33">
                  <c:v>2</c:v>
                </c:pt>
                <c:pt idx="34">
                  <c:v>0</c:v>
                </c:pt>
                <c:pt idx="35">
                  <c:v>0</c:v>
                </c:pt>
                <c:pt idx="36">
                  <c:v>0</c:v>
                </c:pt>
                <c:pt idx="37">
                  <c:v>0</c:v>
                </c:pt>
                <c:pt idx="38">
                  <c:v>0</c:v>
                </c:pt>
                <c:pt idx="39">
                  <c:v>0</c:v>
                </c:pt>
                <c:pt idx="40">
                  <c:v>0</c:v>
                </c:pt>
                <c:pt idx="41">
                  <c:v>1</c:v>
                </c:pt>
                <c:pt idx="42">
                  <c:v>1</c:v>
                </c:pt>
                <c:pt idx="43">
                  <c:v>0</c:v>
                </c:pt>
                <c:pt idx="44">
                  <c:v>1</c:v>
                </c:pt>
                <c:pt idx="45">
                  <c:v>0</c:v>
                </c:pt>
                <c:pt idx="46">
                  <c:v>2</c:v>
                </c:pt>
              </c:numCache>
            </c:numRef>
          </c:val>
          <c:extLst xmlns:c16r2="http://schemas.microsoft.com/office/drawing/2015/06/chart">
            <c:ext xmlns:c16="http://schemas.microsoft.com/office/drawing/2014/chart" uri="{C3380CC4-5D6E-409C-BE32-E72D297353CC}">
              <c16:uniqueId val="{00000001-2F2C-4CEA-9A95-4217FBD85548}"/>
            </c:ext>
          </c:extLst>
        </c:ser>
        <c:ser>
          <c:idx val="2"/>
          <c:order val="2"/>
          <c:tx>
            <c:strRef>
              <c:f>'graf Žalec-Roje 2021'!$S$1</c:f>
              <c:strCache>
                <c:ptCount val="1"/>
                <c:pt idx="0">
                  <c:v>Roje, 2021</c:v>
                </c:pt>
              </c:strCache>
            </c:strRef>
          </c:tx>
          <c:spPr>
            <a:solidFill>
              <a:srgbClr val="FF0000"/>
            </a:solidFill>
          </c:spPr>
          <c:invertIfNegative val="0"/>
          <c:dLbls>
            <c:dLbl>
              <c:idx val="15"/>
              <c:delete val="1"/>
              <c:extLst xmlns:c16r2="http://schemas.microsoft.com/office/drawing/2015/06/chart">
                <c:ext xmlns:c16="http://schemas.microsoft.com/office/drawing/2014/chart" uri="{C3380CC4-5D6E-409C-BE32-E72D297353CC}">
                  <c16:uniqueId val="{00000002-2F2C-4CEA-9A95-4217FBD85548}"/>
                </c:ext>
                <c:ext xmlns:c15="http://schemas.microsoft.com/office/drawing/2012/chart" uri="{CE6537A1-D6FC-4f65-9D91-7224C49458BB}"/>
              </c:extLst>
            </c:dLbl>
            <c:dLbl>
              <c:idx val="16"/>
              <c:delete val="1"/>
              <c:extLst xmlns:c16r2="http://schemas.microsoft.com/office/drawing/2015/06/chart">
                <c:ext xmlns:c16="http://schemas.microsoft.com/office/drawing/2014/chart" uri="{C3380CC4-5D6E-409C-BE32-E72D297353CC}">
                  <c16:uniqueId val="{00000003-2F2C-4CEA-9A95-4217FBD85548}"/>
                </c:ext>
                <c:ext xmlns:c15="http://schemas.microsoft.com/office/drawing/2012/chart" uri="{CE6537A1-D6FC-4f65-9D91-7224C49458BB}"/>
              </c:extLst>
            </c:dLbl>
            <c:dLbl>
              <c:idx val="18"/>
              <c:delete val="1"/>
              <c:extLst xmlns:c16r2="http://schemas.microsoft.com/office/drawing/2015/06/chart">
                <c:ext xmlns:c16="http://schemas.microsoft.com/office/drawing/2014/chart" uri="{C3380CC4-5D6E-409C-BE32-E72D297353CC}">
                  <c16:uniqueId val="{00000004-2F2C-4CEA-9A95-4217FBD85548}"/>
                </c:ext>
                <c:ext xmlns:c15="http://schemas.microsoft.com/office/drawing/2012/chart" uri="{CE6537A1-D6FC-4f65-9D91-7224C49458BB}"/>
              </c:extLst>
            </c:dLbl>
            <c:dLbl>
              <c:idx val="19"/>
              <c:delete val="1"/>
              <c:extLst xmlns:c16r2="http://schemas.microsoft.com/office/drawing/2015/06/chart">
                <c:ext xmlns:c16="http://schemas.microsoft.com/office/drawing/2014/chart" uri="{C3380CC4-5D6E-409C-BE32-E72D297353CC}">
                  <c16:uniqueId val="{00000005-2F2C-4CEA-9A95-4217FBD85548}"/>
                </c:ext>
                <c:ext xmlns:c15="http://schemas.microsoft.com/office/drawing/2012/chart" uri="{CE6537A1-D6FC-4f65-9D91-7224C49458BB}"/>
              </c:extLst>
            </c:dLbl>
            <c:dLbl>
              <c:idx val="20"/>
              <c:delete val="1"/>
              <c:extLst xmlns:c16r2="http://schemas.microsoft.com/office/drawing/2015/06/chart">
                <c:ext xmlns:c16="http://schemas.microsoft.com/office/drawing/2014/chart" uri="{C3380CC4-5D6E-409C-BE32-E72D297353CC}">
                  <c16:uniqueId val="{00000006-2F2C-4CEA-9A95-4217FBD85548}"/>
                </c:ext>
                <c:ext xmlns:c15="http://schemas.microsoft.com/office/drawing/2012/chart" uri="{CE6537A1-D6FC-4f65-9D91-7224C49458BB}"/>
              </c:extLst>
            </c:dLbl>
            <c:dLbl>
              <c:idx val="21"/>
              <c:delete val="1"/>
              <c:extLst xmlns:c16r2="http://schemas.microsoft.com/office/drawing/2015/06/chart">
                <c:ext xmlns:c16="http://schemas.microsoft.com/office/drawing/2014/chart" uri="{C3380CC4-5D6E-409C-BE32-E72D297353CC}">
                  <c16:uniqueId val="{00000007-2F2C-4CEA-9A95-4217FBD85548}"/>
                </c:ext>
                <c:ext xmlns:c15="http://schemas.microsoft.com/office/drawing/2012/chart" uri="{CE6537A1-D6FC-4f65-9D91-7224C49458BB}"/>
              </c:extLst>
            </c:dLbl>
            <c:dLbl>
              <c:idx val="22"/>
              <c:delete val="1"/>
              <c:extLst xmlns:c16r2="http://schemas.microsoft.com/office/drawing/2015/06/chart">
                <c:ext xmlns:c16="http://schemas.microsoft.com/office/drawing/2014/chart" uri="{C3380CC4-5D6E-409C-BE32-E72D297353CC}">
                  <c16:uniqueId val="{00000008-2F2C-4CEA-9A95-4217FBD85548}"/>
                </c:ext>
                <c:ext xmlns:c15="http://schemas.microsoft.com/office/drawing/2012/chart" uri="{CE6537A1-D6FC-4f65-9D91-7224C49458BB}"/>
              </c:extLst>
            </c:dLbl>
            <c:dLbl>
              <c:idx val="24"/>
              <c:delete val="1"/>
              <c:extLst xmlns:c16r2="http://schemas.microsoft.com/office/drawing/2015/06/chart">
                <c:ext xmlns:c16="http://schemas.microsoft.com/office/drawing/2014/chart" uri="{C3380CC4-5D6E-409C-BE32-E72D297353CC}">
                  <c16:uniqueId val="{00000009-2F2C-4CEA-9A95-4217FBD85548}"/>
                </c:ext>
                <c:ext xmlns:c15="http://schemas.microsoft.com/office/drawing/2012/chart" uri="{CE6537A1-D6FC-4f65-9D91-7224C49458BB}"/>
              </c:extLst>
            </c:dLbl>
            <c:dLbl>
              <c:idx val="25"/>
              <c:delete val="1"/>
              <c:extLst xmlns:c16r2="http://schemas.microsoft.com/office/drawing/2015/06/chart">
                <c:ext xmlns:c16="http://schemas.microsoft.com/office/drawing/2014/chart" uri="{C3380CC4-5D6E-409C-BE32-E72D297353CC}">
                  <c16:uniqueId val="{0000000A-2F2C-4CEA-9A95-4217FBD85548}"/>
                </c:ext>
                <c:ext xmlns:c15="http://schemas.microsoft.com/office/drawing/2012/chart" uri="{CE6537A1-D6FC-4f65-9D91-7224C49458BB}"/>
              </c:extLst>
            </c:dLbl>
            <c:dLbl>
              <c:idx val="26"/>
              <c:delete val="1"/>
              <c:extLst xmlns:c16r2="http://schemas.microsoft.com/office/drawing/2015/06/chart">
                <c:ext xmlns:c16="http://schemas.microsoft.com/office/drawing/2014/chart" uri="{C3380CC4-5D6E-409C-BE32-E72D297353CC}">
                  <c16:uniqueId val="{0000000B-2F2C-4CEA-9A95-4217FBD85548}"/>
                </c:ext>
                <c:ext xmlns:c15="http://schemas.microsoft.com/office/drawing/2012/chart" uri="{CE6537A1-D6FC-4f65-9D91-7224C49458BB}"/>
              </c:extLst>
            </c:dLbl>
            <c:dLbl>
              <c:idx val="27"/>
              <c:delete val="1"/>
              <c:extLst xmlns:c16r2="http://schemas.microsoft.com/office/drawing/2015/06/chart">
                <c:ext xmlns:c16="http://schemas.microsoft.com/office/drawing/2014/chart" uri="{C3380CC4-5D6E-409C-BE32-E72D297353CC}">
                  <c16:uniqueId val="{0000000C-2F2C-4CEA-9A95-4217FBD85548}"/>
                </c:ext>
                <c:ext xmlns:c15="http://schemas.microsoft.com/office/drawing/2012/chart" uri="{CE6537A1-D6FC-4f65-9D91-7224C49458BB}"/>
              </c:extLst>
            </c:dLbl>
            <c:dLbl>
              <c:idx val="30"/>
              <c:delete val="1"/>
              <c:extLst xmlns:c16r2="http://schemas.microsoft.com/office/drawing/2015/06/chart">
                <c:ext xmlns:c16="http://schemas.microsoft.com/office/drawing/2014/chart" uri="{C3380CC4-5D6E-409C-BE32-E72D297353CC}">
                  <c16:uniqueId val="{0000000D-2F2C-4CEA-9A95-4217FBD85548}"/>
                </c:ext>
                <c:ext xmlns:c15="http://schemas.microsoft.com/office/drawing/2012/chart" uri="{CE6537A1-D6FC-4f65-9D91-7224C49458BB}"/>
              </c:extLst>
            </c:dLbl>
            <c:dLbl>
              <c:idx val="31"/>
              <c:delete val="1"/>
              <c:extLst xmlns:c16r2="http://schemas.microsoft.com/office/drawing/2015/06/chart">
                <c:ext xmlns:c16="http://schemas.microsoft.com/office/drawing/2014/chart" uri="{C3380CC4-5D6E-409C-BE32-E72D297353CC}">
                  <c16:uniqueId val="{0000000E-2F2C-4CEA-9A95-4217FBD85548}"/>
                </c:ext>
                <c:ext xmlns:c15="http://schemas.microsoft.com/office/drawing/2012/chart" uri="{CE6537A1-D6FC-4f65-9D91-7224C49458BB}"/>
              </c:extLst>
            </c:dLbl>
            <c:dLbl>
              <c:idx val="32"/>
              <c:delete val="1"/>
              <c:extLst xmlns:c16r2="http://schemas.microsoft.com/office/drawing/2015/06/chart">
                <c:ext xmlns:c16="http://schemas.microsoft.com/office/drawing/2014/chart" uri="{C3380CC4-5D6E-409C-BE32-E72D297353CC}">
                  <c16:uniqueId val="{0000000F-2F2C-4CEA-9A95-4217FBD85548}"/>
                </c:ext>
                <c:ext xmlns:c15="http://schemas.microsoft.com/office/drawing/2012/chart" uri="{CE6537A1-D6FC-4f65-9D91-7224C49458BB}"/>
              </c:extLst>
            </c:dLbl>
            <c:dLbl>
              <c:idx val="36"/>
              <c:delete val="1"/>
              <c:extLst xmlns:c16r2="http://schemas.microsoft.com/office/drawing/2015/06/chart">
                <c:ext xmlns:c16="http://schemas.microsoft.com/office/drawing/2014/chart" uri="{C3380CC4-5D6E-409C-BE32-E72D297353CC}">
                  <c16:uniqueId val="{00000010-2F2C-4CEA-9A95-4217FBD85548}"/>
                </c:ext>
                <c:ext xmlns:c15="http://schemas.microsoft.com/office/drawing/2012/chart" uri="{CE6537A1-D6FC-4f65-9D91-7224C49458BB}"/>
              </c:extLst>
            </c:dLbl>
            <c:dLbl>
              <c:idx val="37"/>
              <c:delete val="1"/>
              <c:extLst xmlns:c16r2="http://schemas.microsoft.com/office/drawing/2015/06/chart">
                <c:ext xmlns:c16="http://schemas.microsoft.com/office/drawing/2014/chart" uri="{C3380CC4-5D6E-409C-BE32-E72D297353CC}">
                  <c16:uniqueId val="{00000011-2F2C-4CEA-9A95-4217FBD85548}"/>
                </c:ext>
                <c:ext xmlns:c15="http://schemas.microsoft.com/office/drawing/2012/chart" uri="{CE6537A1-D6FC-4f65-9D91-7224C49458BB}"/>
              </c:extLst>
            </c:dLbl>
            <c:dLbl>
              <c:idx val="39"/>
              <c:delete val="1"/>
              <c:extLst xmlns:c16r2="http://schemas.microsoft.com/office/drawing/2015/06/chart">
                <c:ext xmlns:c16="http://schemas.microsoft.com/office/drawing/2014/chart" uri="{C3380CC4-5D6E-409C-BE32-E72D297353CC}">
                  <c16:uniqueId val="{00000012-2F2C-4CEA-9A95-4217FBD85548}"/>
                </c:ext>
                <c:ext xmlns:c15="http://schemas.microsoft.com/office/drawing/2012/chart" uri="{CE6537A1-D6FC-4f65-9D91-7224C49458BB}"/>
              </c:extLst>
            </c:dLbl>
            <c:spPr>
              <a:noFill/>
              <a:ln>
                <a:noFill/>
              </a:ln>
              <a:effectLst/>
            </c:spPr>
            <c:txPr>
              <a:bodyPr/>
              <a:lstStyle/>
              <a:p>
                <a:pPr>
                  <a:defRPr sz="800"/>
                </a:pPr>
                <a:endParaRPr lang="sl-SI"/>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'graf Žalec-Roje 2021'!$B$5:$B$56</c:f>
              <c:numCache>
                <c:formatCode>General</c:formatCode>
                <c:ptCount val="52"/>
                <c:pt idx="0">
                  <c:v>5</c:v>
                </c:pt>
                <c:pt idx="1">
                  <c:v>6</c:v>
                </c:pt>
                <c:pt idx="2">
                  <c:v>7</c:v>
                </c:pt>
                <c:pt idx="3">
                  <c:v>8</c:v>
                </c:pt>
                <c:pt idx="4">
                  <c:v>9</c:v>
                </c:pt>
                <c:pt idx="5">
                  <c:v>10</c:v>
                </c:pt>
                <c:pt idx="6">
                  <c:v>11</c:v>
                </c:pt>
                <c:pt idx="7">
                  <c:v>12</c:v>
                </c:pt>
                <c:pt idx="8">
                  <c:v>13</c:v>
                </c:pt>
                <c:pt idx="9">
                  <c:v>14</c:v>
                </c:pt>
                <c:pt idx="10">
                  <c:v>15</c:v>
                </c:pt>
                <c:pt idx="11">
                  <c:v>16</c:v>
                </c:pt>
                <c:pt idx="12">
                  <c:v>17</c:v>
                </c:pt>
                <c:pt idx="13">
                  <c:v>18</c:v>
                </c:pt>
                <c:pt idx="14">
                  <c:v>19</c:v>
                </c:pt>
                <c:pt idx="15">
                  <c:v>20</c:v>
                </c:pt>
                <c:pt idx="16">
                  <c:v>21</c:v>
                </c:pt>
                <c:pt idx="17">
                  <c:v>22</c:v>
                </c:pt>
                <c:pt idx="18">
                  <c:v>23</c:v>
                </c:pt>
                <c:pt idx="19">
                  <c:v>24</c:v>
                </c:pt>
                <c:pt idx="20">
                  <c:v>25</c:v>
                </c:pt>
                <c:pt idx="21">
                  <c:v>26</c:v>
                </c:pt>
                <c:pt idx="22">
                  <c:v>27</c:v>
                </c:pt>
                <c:pt idx="23">
                  <c:v>28</c:v>
                </c:pt>
                <c:pt idx="24">
                  <c:v>29</c:v>
                </c:pt>
                <c:pt idx="25">
                  <c:v>30</c:v>
                </c:pt>
                <c:pt idx="26">
                  <c:v>31</c:v>
                </c:pt>
                <c:pt idx="27">
                  <c:v>1</c:v>
                </c:pt>
                <c:pt idx="28">
                  <c:v>2</c:v>
                </c:pt>
                <c:pt idx="29">
                  <c:v>3</c:v>
                </c:pt>
                <c:pt idx="30">
                  <c:v>4</c:v>
                </c:pt>
                <c:pt idx="31">
                  <c:v>5</c:v>
                </c:pt>
                <c:pt idx="32">
                  <c:v>6</c:v>
                </c:pt>
                <c:pt idx="33">
                  <c:v>7</c:v>
                </c:pt>
                <c:pt idx="34">
                  <c:v>8</c:v>
                </c:pt>
                <c:pt idx="35">
                  <c:v>9</c:v>
                </c:pt>
                <c:pt idx="36">
                  <c:v>10</c:v>
                </c:pt>
                <c:pt idx="37">
                  <c:v>11</c:v>
                </c:pt>
                <c:pt idx="38">
                  <c:v>12</c:v>
                </c:pt>
                <c:pt idx="39">
                  <c:v>13</c:v>
                </c:pt>
                <c:pt idx="40">
                  <c:v>14</c:v>
                </c:pt>
                <c:pt idx="41">
                  <c:v>15</c:v>
                </c:pt>
                <c:pt idx="42">
                  <c:v>16</c:v>
                </c:pt>
                <c:pt idx="43">
                  <c:v>17</c:v>
                </c:pt>
                <c:pt idx="44">
                  <c:v>18</c:v>
                </c:pt>
                <c:pt idx="45">
                  <c:v>19</c:v>
                </c:pt>
                <c:pt idx="46">
                  <c:v>20</c:v>
                </c:pt>
                <c:pt idx="47">
                  <c:v>21</c:v>
                </c:pt>
                <c:pt idx="48">
                  <c:v>22</c:v>
                </c:pt>
                <c:pt idx="49">
                  <c:v>23</c:v>
                </c:pt>
                <c:pt idx="50">
                  <c:v>24</c:v>
                </c:pt>
                <c:pt idx="51">
                  <c:v>25</c:v>
                </c:pt>
              </c:numCache>
            </c:numRef>
          </c:cat>
          <c:val>
            <c:numRef>
              <c:f>'graf Žalec-Roje 2021'!$S$5:$S$56</c:f>
              <c:numCache>
                <c:formatCode>General</c:formatCode>
                <c:ptCount val="52"/>
                <c:pt idx="15">
                  <c:v>0</c:v>
                </c:pt>
                <c:pt idx="16">
                  <c:v>0</c:v>
                </c:pt>
                <c:pt idx="17">
                  <c:v>1</c:v>
                </c:pt>
                <c:pt idx="18">
                  <c:v>0</c:v>
                </c:pt>
                <c:pt idx="19">
                  <c:v>0</c:v>
                </c:pt>
                <c:pt idx="20">
                  <c:v>0</c:v>
                </c:pt>
                <c:pt idx="21">
                  <c:v>0</c:v>
                </c:pt>
                <c:pt idx="22">
                  <c:v>0</c:v>
                </c:pt>
                <c:pt idx="23">
                  <c:v>1</c:v>
                </c:pt>
                <c:pt idx="24">
                  <c:v>0</c:v>
                </c:pt>
                <c:pt idx="25">
                  <c:v>0</c:v>
                </c:pt>
                <c:pt idx="26">
                  <c:v>0</c:v>
                </c:pt>
                <c:pt idx="27">
                  <c:v>0</c:v>
                </c:pt>
                <c:pt idx="28">
                  <c:v>1</c:v>
                </c:pt>
                <c:pt idx="29">
                  <c:v>7</c:v>
                </c:pt>
                <c:pt idx="30">
                  <c:v>0</c:v>
                </c:pt>
                <c:pt idx="31">
                  <c:v>0</c:v>
                </c:pt>
                <c:pt idx="32">
                  <c:v>0</c:v>
                </c:pt>
                <c:pt idx="33">
                  <c:v>6</c:v>
                </c:pt>
                <c:pt idx="34">
                  <c:v>7</c:v>
                </c:pt>
                <c:pt idx="35">
                  <c:v>5</c:v>
                </c:pt>
                <c:pt idx="36">
                  <c:v>0</c:v>
                </c:pt>
                <c:pt idx="37">
                  <c:v>0</c:v>
                </c:pt>
                <c:pt idx="38">
                  <c:v>19</c:v>
                </c:pt>
                <c:pt idx="39">
                  <c:v>0</c:v>
                </c:pt>
                <c:pt idx="40">
                  <c:v>4</c:v>
                </c:pt>
                <c:pt idx="41">
                  <c:v>11</c:v>
                </c:pt>
                <c:pt idx="42">
                  <c:v>3</c:v>
                </c:pt>
                <c:pt idx="43">
                  <c:v>13</c:v>
                </c:pt>
                <c:pt idx="44">
                  <c:v>11</c:v>
                </c:pt>
                <c:pt idx="45">
                  <c:v>17</c:v>
                </c:pt>
                <c:pt idx="46">
                  <c:v>10</c:v>
                </c:pt>
              </c:numCache>
            </c:numRef>
          </c:val>
          <c:extLst xmlns:c16r2="http://schemas.microsoft.com/office/drawing/2015/06/chart">
            <c:ext xmlns:c16="http://schemas.microsoft.com/office/drawing/2014/chart" uri="{C3380CC4-5D6E-409C-BE32-E72D297353CC}">
              <c16:uniqueId val="{00000013-2F2C-4CEA-9A95-4217FBD85548}"/>
            </c:ext>
          </c:extLst>
        </c:ser>
        <c:dLbls>
          <c:showLegendKey val="0"/>
          <c:showVal val="0"/>
          <c:showCatName val="0"/>
          <c:showSerName val="0"/>
          <c:showPercent val="0"/>
          <c:showBubbleSize val="0"/>
        </c:dLbls>
        <c:gapWidth val="150"/>
        <c:axId val="514046376"/>
        <c:axId val="514046768"/>
      </c:barChart>
      <c:catAx>
        <c:axId val="514046376"/>
        <c:scaling>
          <c:orientation val="minMax"/>
        </c:scaling>
        <c:delete val="0"/>
        <c:axPos val="b"/>
        <c:title>
          <c:tx>
            <c:rich>
              <a:bodyPr/>
              <a:lstStyle/>
              <a:p>
                <a:pPr>
                  <a:defRPr sz="1100" b="0" i="0" u="none" strike="noStrike" baseline="0">
                    <a:solidFill>
                      <a:srgbClr val="000000"/>
                    </a:solidFill>
                    <a:latin typeface="Calibri"/>
                    <a:ea typeface="Calibri"/>
                    <a:cs typeface="Calibri"/>
                  </a:defRPr>
                </a:pPr>
                <a:r>
                  <a:rPr lang="sl-SI" sz="1000" b="1" i="0" u="none" strike="noStrike" baseline="0">
                    <a:solidFill>
                      <a:srgbClr val="000000"/>
                    </a:solidFill>
                    <a:latin typeface="Calibri"/>
                    <a:cs typeface="Calibri"/>
                  </a:rPr>
                  <a:t>                                        maj                                                              junij</a:t>
                </a:r>
              </a:p>
              <a:p>
                <a:pPr>
                  <a:defRPr sz="1100" b="0" i="0" u="none" strike="noStrike" baseline="0">
                    <a:solidFill>
                      <a:srgbClr val="000000"/>
                    </a:solidFill>
                    <a:latin typeface="Calibri"/>
                    <a:ea typeface="Calibri"/>
                    <a:cs typeface="Calibri"/>
                  </a:defRPr>
                </a:pPr>
                <a:r>
                  <a:rPr lang="sl-SI" sz="1000" b="1" i="0" u="none" strike="noStrike" baseline="0">
                    <a:solidFill>
                      <a:srgbClr val="000000"/>
                    </a:solidFill>
                    <a:latin typeface="Calibri"/>
                    <a:cs typeface="Calibri"/>
                  </a:rPr>
                  <a:t>                                                 </a:t>
                </a:r>
              </a:p>
            </c:rich>
          </c:tx>
          <c:layout>
            <c:manualLayout>
              <c:xMode val="edge"/>
              <c:yMode val="edge"/>
              <c:x val="0.22640262404174269"/>
              <c:y val="0.87259288474450536"/>
            </c:manualLayout>
          </c:layout>
          <c:overlay val="0"/>
        </c:title>
        <c:numFmt formatCode="General" sourceLinked="1"/>
        <c:majorTickMark val="none"/>
        <c:minorTickMark val="none"/>
        <c:tickLblPos val="nextTo"/>
        <c:txPr>
          <a:bodyPr rot="0" vert="horz"/>
          <a:lstStyle/>
          <a:p>
            <a:pPr>
              <a:defRPr sz="1000" b="0" i="0" u="none" strike="noStrike" baseline="0">
                <a:solidFill>
                  <a:srgbClr val="000000"/>
                </a:solidFill>
                <a:latin typeface="Calibri"/>
                <a:ea typeface="Calibri"/>
                <a:cs typeface="Calibri"/>
              </a:defRPr>
            </a:pPr>
            <a:endParaRPr lang="sl-SI"/>
          </a:p>
        </c:txPr>
        <c:crossAx val="514046768"/>
        <c:crosses val="autoZero"/>
        <c:auto val="1"/>
        <c:lblAlgn val="ctr"/>
        <c:lblOffset val="100"/>
        <c:noMultiLvlLbl val="0"/>
      </c:catAx>
      <c:valAx>
        <c:axId val="514046768"/>
        <c:scaling>
          <c:orientation val="minMax"/>
        </c:scaling>
        <c:delete val="0"/>
        <c:axPos val="l"/>
        <c:majorGridlines/>
        <c:title>
          <c:tx>
            <c:rich>
              <a:bodyPr/>
              <a:lstStyle/>
              <a:p>
                <a:pPr>
                  <a:defRPr sz="1000" b="1" i="0" u="none" strike="noStrike" baseline="0">
                    <a:solidFill>
                      <a:srgbClr val="000000"/>
                    </a:solidFill>
                    <a:latin typeface="Calibri"/>
                    <a:ea typeface="Calibri"/>
                    <a:cs typeface="Calibri"/>
                  </a:defRPr>
                </a:pPr>
                <a:r>
                  <a:rPr lang="sl-SI"/>
                  <a:t>Št. metuljev koruzne vešče/noč</a:t>
                </a:r>
              </a:p>
            </c:rich>
          </c:tx>
          <c:overlay val="0"/>
        </c:title>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sl-SI"/>
          </a:p>
        </c:txPr>
        <c:crossAx val="514046376"/>
        <c:crosses val="autoZero"/>
        <c:crossBetween val="between"/>
      </c:valAx>
    </c:plotArea>
    <c:legend>
      <c:legendPos val="b"/>
      <c:layout>
        <c:manualLayout>
          <c:xMode val="edge"/>
          <c:yMode val="edge"/>
          <c:x val="0.27428522812016276"/>
          <c:y val="0.95101578295813072"/>
          <c:w val="0.45438330625338497"/>
          <c:h val="3.6649434920813788E-2"/>
        </c:manualLayout>
      </c:layout>
      <c:overlay val="0"/>
      <c:spPr>
        <a:ln>
          <a:solidFill>
            <a:schemeClr val="tx1"/>
          </a:solidFill>
        </a:ln>
      </c:spPr>
      <c:txPr>
        <a:bodyPr/>
        <a:lstStyle/>
        <a:p>
          <a:pPr>
            <a:defRPr sz="775" b="0" i="0" u="none" strike="noStrike" baseline="0">
              <a:solidFill>
                <a:srgbClr val="000000"/>
              </a:solidFill>
              <a:latin typeface="Calibri"/>
              <a:ea typeface="Calibri"/>
              <a:cs typeface="Calibri"/>
            </a:defRPr>
          </a:pPr>
          <a:endParaRPr lang="sl-SI"/>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sl-SI"/>
    </a:p>
  </c:txPr>
  <c:externalData r:id="rId2">
    <c:autoUpdate val="0"/>
  </c:externalData>
</c:chartSpace>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F29999-C7D3-4894-B5DA-6CDA7FB8B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1609</Words>
  <Characters>9174</Characters>
  <Application>Microsoft Office Word</Application>
  <DocSecurity>0</DocSecurity>
  <Lines>76</Lines>
  <Paragraphs>21</Paragraphs>
  <ScaleCrop>false</ScaleCrop>
  <HeadingPairs>
    <vt:vector size="2" baseType="variant">
      <vt:variant>
        <vt:lpstr>Naslov</vt:lpstr>
      </vt:variant>
      <vt:variant>
        <vt:i4>1</vt:i4>
      </vt:variant>
    </vt:vector>
  </HeadingPairs>
  <TitlesOfParts>
    <vt:vector size="1" baseType="lpstr">
      <vt:lpstr>___________________________________________________________________________</vt:lpstr>
    </vt:vector>
  </TitlesOfParts>
  <Company/>
  <LinksUpToDate>false</LinksUpToDate>
  <CharactersWithSpaces>10762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___________________________________________________________________________</dc:title>
  <dc:subject/>
  <dc:creator>Gregor Leskošek</dc:creator>
  <cp:keywords>HINF</cp:keywords>
  <cp:lastModifiedBy>Bojan Čremožnik</cp:lastModifiedBy>
  <cp:revision>2</cp:revision>
  <cp:lastPrinted>2021-06-11T12:34:00Z</cp:lastPrinted>
  <dcterms:created xsi:type="dcterms:W3CDTF">2021-06-23T04:48:00Z</dcterms:created>
  <dcterms:modified xsi:type="dcterms:W3CDTF">2021-06-23T04:48:00Z</dcterms:modified>
</cp:coreProperties>
</file>