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preprosta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525"/>
        <w:gridCol w:w="1508"/>
      </w:tblGrid>
      <w:tr w:rsidR="00C812B3" w:rsidRPr="003A01F0" w14:paraId="0C9CE77B" w14:textId="77777777" w:rsidTr="00BB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14:paraId="2A2C7F1F" w14:textId="77777777" w:rsidR="00C5388D" w:rsidRPr="003A01F0" w:rsidRDefault="00C5388D" w:rsidP="00152AA9">
            <w:pPr>
              <w:pStyle w:val="OBVESTILOIzdajaKrepko"/>
            </w:pPr>
            <w:r w:rsidRPr="003A01F0">
              <w:t>Podatki o publikaciji</w:t>
            </w:r>
          </w:p>
        </w:tc>
        <w:tc>
          <w:tcPr>
            <w:tcW w:w="5525" w:type="dxa"/>
            <w:tcBorders>
              <w:bottom w:val="none" w:sz="0" w:space="0" w:color="auto"/>
            </w:tcBorders>
          </w:tcPr>
          <w:p w14:paraId="0815A22F" w14:textId="77777777" w:rsidR="00C5388D" w:rsidRPr="003A01F0" w:rsidRDefault="00C5388D" w:rsidP="00152AA9">
            <w:pPr>
              <w:pStyle w:val="OBVESTILOIzdajaKrepko"/>
            </w:pPr>
          </w:p>
        </w:tc>
        <w:tc>
          <w:tcPr>
            <w:tcW w:w="1508" w:type="dxa"/>
            <w:tcBorders>
              <w:bottom w:val="none" w:sz="0" w:space="0" w:color="auto"/>
            </w:tcBorders>
          </w:tcPr>
          <w:p w14:paraId="40FB87FE" w14:textId="77777777" w:rsidR="00C5388D" w:rsidRPr="003A01F0" w:rsidRDefault="00C5388D" w:rsidP="00152AA9">
            <w:pPr>
              <w:pStyle w:val="OBVESTILOIzdajaKrepko"/>
            </w:pPr>
          </w:p>
        </w:tc>
      </w:tr>
      <w:tr w:rsidR="00C812B3" w:rsidRPr="003A01F0" w14:paraId="46E0D916" w14:textId="77777777" w:rsidTr="00BB63A1">
        <w:tc>
          <w:tcPr>
            <w:tcW w:w="1983" w:type="dxa"/>
          </w:tcPr>
          <w:p w14:paraId="7A6902BE" w14:textId="77777777" w:rsidR="00C5388D" w:rsidRPr="003A01F0" w:rsidRDefault="00C5388D" w:rsidP="00152AA9">
            <w:pPr>
              <w:pStyle w:val="OBVESTILOIzdajaKrepko"/>
            </w:pPr>
            <w:r w:rsidRPr="003A01F0">
              <w:t>Izdaja:</w:t>
            </w:r>
          </w:p>
        </w:tc>
        <w:tc>
          <w:tcPr>
            <w:tcW w:w="5525" w:type="dxa"/>
          </w:tcPr>
          <w:p w14:paraId="299B218B" w14:textId="77777777" w:rsidR="00C5388D" w:rsidRPr="003A01F0" w:rsidRDefault="00C5388D" w:rsidP="00152AA9">
            <w:pPr>
              <w:pStyle w:val="OBVESTILOIzdaja"/>
            </w:pPr>
            <w:r w:rsidRPr="003A01F0">
              <w:t>Inštitut za hmeljarstvo i</w:t>
            </w:r>
            <w:r w:rsidR="007B022C" w:rsidRPr="003A01F0">
              <w:t xml:space="preserve">n pivovarstvo Slovenije, </w:t>
            </w:r>
            <w:r w:rsidR="006825D3" w:rsidRPr="003A01F0">
              <w:br w:type="textWrapping" w:clear="all"/>
            </w:r>
            <w:r w:rsidR="007B022C" w:rsidRPr="003A01F0">
              <w:t>Cesta Ž</w:t>
            </w:r>
            <w:r w:rsidRPr="003A01F0">
              <w:t>alskega tabora 2, 3310</w:t>
            </w:r>
            <w:r w:rsidR="001B6FD8" w:rsidRPr="003A01F0">
              <w:t xml:space="preserve"> Žalec</w:t>
            </w:r>
          </w:p>
        </w:tc>
        <w:tc>
          <w:tcPr>
            <w:tcW w:w="1508" w:type="dxa"/>
            <w:vMerge w:val="restart"/>
          </w:tcPr>
          <w:p w14:paraId="3F62A857" w14:textId="77777777" w:rsidR="00C5388D" w:rsidRPr="003A01F0" w:rsidRDefault="00C812B3" w:rsidP="00152AA9">
            <w:pPr>
              <w:pStyle w:val="OBVESTILOIzdaja"/>
            </w:pPr>
            <w:r w:rsidRPr="003A01F0">
              <w:rPr>
                <w:noProof/>
              </w:rPr>
              <w:drawing>
                <wp:inline distT="0" distB="0" distL="0" distR="0" wp14:anchorId="74E3AFCA" wp14:editId="5DDBD1FD">
                  <wp:extent cx="820489" cy="731520"/>
                  <wp:effectExtent l="0" t="0" r="0" b="0"/>
                  <wp:docPr id="3" name="Picture 3" title="Ikona, ki se uporablja za hmeljarske informacije: storžek hmel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V_Hmelj_202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693" cy="75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2B3" w:rsidRPr="003A01F0" w14:paraId="7C01475C" w14:textId="77777777" w:rsidTr="00BB63A1">
        <w:tc>
          <w:tcPr>
            <w:tcW w:w="1983" w:type="dxa"/>
          </w:tcPr>
          <w:p w14:paraId="3AF505C5" w14:textId="77777777" w:rsidR="00C5388D" w:rsidRPr="003A01F0" w:rsidRDefault="00284384" w:rsidP="00284384">
            <w:pPr>
              <w:pStyle w:val="OBVESTILOIzdajaKrepko"/>
            </w:pPr>
            <w:r w:rsidRPr="003A01F0">
              <w:t>Urednik</w:t>
            </w:r>
            <w:r w:rsidR="00C5388D" w:rsidRPr="003A01F0">
              <w:t>:</w:t>
            </w:r>
          </w:p>
        </w:tc>
        <w:tc>
          <w:tcPr>
            <w:tcW w:w="5525" w:type="dxa"/>
          </w:tcPr>
          <w:p w14:paraId="64EB3C2B" w14:textId="77777777" w:rsidR="00C5388D" w:rsidRPr="003A01F0" w:rsidRDefault="00C812B3" w:rsidP="00C812B3">
            <w:pPr>
              <w:pStyle w:val="OBVESTILOIzdaja"/>
            </w:pPr>
            <w:r w:rsidRPr="003A01F0">
              <w:t>Gregor Leskošek</w:t>
            </w:r>
          </w:p>
        </w:tc>
        <w:tc>
          <w:tcPr>
            <w:tcW w:w="1508" w:type="dxa"/>
            <w:vMerge/>
          </w:tcPr>
          <w:p w14:paraId="2F702326" w14:textId="77777777" w:rsidR="00C5388D" w:rsidRPr="003A01F0" w:rsidRDefault="00C5388D" w:rsidP="00152AA9">
            <w:pPr>
              <w:pStyle w:val="OBVESTILOIzdaja"/>
            </w:pPr>
          </w:p>
        </w:tc>
      </w:tr>
      <w:tr w:rsidR="00C812B3" w:rsidRPr="003A01F0" w14:paraId="0E27848C" w14:textId="77777777" w:rsidTr="00BB63A1">
        <w:tc>
          <w:tcPr>
            <w:tcW w:w="1983" w:type="dxa"/>
          </w:tcPr>
          <w:p w14:paraId="581B9D77" w14:textId="77777777" w:rsidR="00C5388D" w:rsidRPr="003A01F0" w:rsidRDefault="00C5388D" w:rsidP="00152AA9">
            <w:pPr>
              <w:pStyle w:val="OBVESTILOIzdajaKrepko"/>
            </w:pPr>
            <w:r w:rsidRPr="003A01F0">
              <w:t>E-pošta uredništva:</w:t>
            </w:r>
          </w:p>
        </w:tc>
        <w:tc>
          <w:tcPr>
            <w:tcW w:w="5525" w:type="dxa"/>
          </w:tcPr>
          <w:p w14:paraId="3674C09D" w14:textId="77777777" w:rsidR="00C5388D" w:rsidRPr="003A01F0" w:rsidRDefault="00B27D77" w:rsidP="00152AA9">
            <w:pPr>
              <w:pStyle w:val="OBVESTILOIzdaja"/>
            </w:pPr>
            <w:hyperlink r:id="rId9" w:history="1">
              <w:r w:rsidR="00C812B3" w:rsidRPr="003A01F0">
                <w:rPr>
                  <w:rStyle w:val="Hiperpovezava"/>
                </w:rPr>
                <w:t>gregor.leskosek@ihps.si</w:t>
              </w:r>
            </w:hyperlink>
          </w:p>
        </w:tc>
        <w:tc>
          <w:tcPr>
            <w:tcW w:w="1508" w:type="dxa"/>
            <w:vMerge/>
          </w:tcPr>
          <w:p w14:paraId="380E0D78" w14:textId="77777777" w:rsidR="00C5388D" w:rsidRPr="003A01F0" w:rsidRDefault="00C5388D" w:rsidP="00152AA9">
            <w:pPr>
              <w:pStyle w:val="OBVESTILOIzdaja"/>
            </w:pPr>
          </w:p>
        </w:tc>
      </w:tr>
      <w:tr w:rsidR="00C812B3" w:rsidRPr="003A01F0" w14:paraId="1B5F339D" w14:textId="77777777" w:rsidTr="00BB63A1">
        <w:tc>
          <w:tcPr>
            <w:tcW w:w="1983" w:type="dxa"/>
          </w:tcPr>
          <w:p w14:paraId="1D149B12" w14:textId="77777777" w:rsidR="00C5388D" w:rsidRPr="003A01F0" w:rsidRDefault="00C5388D" w:rsidP="00152AA9">
            <w:pPr>
              <w:pStyle w:val="OBVESTILOIzdajaKrepko"/>
            </w:pPr>
            <w:r w:rsidRPr="003A01F0">
              <w:t>Uredniški odbor:</w:t>
            </w:r>
          </w:p>
        </w:tc>
        <w:tc>
          <w:tcPr>
            <w:tcW w:w="5525" w:type="dxa"/>
          </w:tcPr>
          <w:p w14:paraId="3A8DBB76" w14:textId="77777777" w:rsidR="00C5388D" w:rsidRPr="003A01F0" w:rsidRDefault="00C812B3" w:rsidP="00C812B3">
            <w:pPr>
              <w:pStyle w:val="OBVESTILOIzdaja"/>
            </w:pPr>
            <w:r w:rsidRPr="003A01F0">
              <w:t>Gregor Leskošek, dr. Ma</w:t>
            </w:r>
            <w:r w:rsidR="0014463D" w:rsidRPr="003A01F0">
              <w:t>gda Rak Cizej, dr. Barbara Čeh,</w:t>
            </w:r>
            <w:r w:rsidR="0014463D" w:rsidRPr="003A01F0">
              <w:br w:type="textWrapping" w:clear="all"/>
            </w:r>
            <w:r w:rsidRPr="003A01F0">
              <w:t>dr. Sebastjan Radišek</w:t>
            </w:r>
            <w:r w:rsidR="005E747C" w:rsidRPr="003A01F0">
              <w:t>, dr. Boštjan Naglič</w:t>
            </w:r>
          </w:p>
        </w:tc>
        <w:tc>
          <w:tcPr>
            <w:tcW w:w="1508" w:type="dxa"/>
            <w:vMerge/>
          </w:tcPr>
          <w:p w14:paraId="6A5D6100" w14:textId="77777777" w:rsidR="00C5388D" w:rsidRPr="003A01F0" w:rsidRDefault="00C5388D" w:rsidP="00152AA9">
            <w:pPr>
              <w:pStyle w:val="OBVESTILOIzdaja"/>
            </w:pPr>
          </w:p>
        </w:tc>
      </w:tr>
      <w:tr w:rsidR="008C6595" w:rsidRPr="003A01F0" w14:paraId="1AC982EC" w14:textId="77777777" w:rsidTr="00BB63A1">
        <w:tc>
          <w:tcPr>
            <w:tcW w:w="1983" w:type="dxa"/>
          </w:tcPr>
          <w:p w14:paraId="2E4BD61E" w14:textId="77777777" w:rsidR="008C6595" w:rsidRPr="003A01F0" w:rsidRDefault="008C6595" w:rsidP="00152AA9">
            <w:pPr>
              <w:pStyle w:val="OBVESTILOIzdajaKrepko"/>
            </w:pPr>
            <w:r w:rsidRPr="003A01F0">
              <w:t>Naklada</w:t>
            </w:r>
            <w:r w:rsidR="00D4111F" w:rsidRPr="003A01F0">
              <w:t>:</w:t>
            </w:r>
          </w:p>
        </w:tc>
        <w:tc>
          <w:tcPr>
            <w:tcW w:w="5525" w:type="dxa"/>
          </w:tcPr>
          <w:p w14:paraId="2E620CB3" w14:textId="77777777" w:rsidR="008C6595" w:rsidRPr="003A01F0" w:rsidRDefault="008B3693" w:rsidP="00C812B3">
            <w:pPr>
              <w:pStyle w:val="OBVESTILOIzdaja"/>
            </w:pPr>
            <w:r w:rsidRPr="003A01F0">
              <w:t>2</w:t>
            </w:r>
            <w:r w:rsidR="008C6595" w:rsidRPr="003A01F0">
              <w:t>00 izvodov</w:t>
            </w:r>
          </w:p>
        </w:tc>
        <w:tc>
          <w:tcPr>
            <w:tcW w:w="1508" w:type="dxa"/>
          </w:tcPr>
          <w:p w14:paraId="028DF3AA" w14:textId="77777777" w:rsidR="008C6595" w:rsidRPr="003A01F0" w:rsidRDefault="008C6595" w:rsidP="00152AA9">
            <w:pPr>
              <w:pStyle w:val="OBVESTILOIzdaja"/>
            </w:pPr>
          </w:p>
        </w:tc>
      </w:tr>
    </w:tbl>
    <w:p w14:paraId="3FB05A20" w14:textId="77777777" w:rsidR="00634292" w:rsidRPr="003A01F0" w:rsidRDefault="00C5388D" w:rsidP="00FE2EEC">
      <w:pPr>
        <w:pStyle w:val="ISSN"/>
      </w:pPr>
      <w:r w:rsidRPr="003A01F0">
        <w:t xml:space="preserve">ISSN </w:t>
      </w:r>
      <w:r w:rsidR="00BB63A1" w:rsidRPr="003A01F0">
        <w:t>1408</w:t>
      </w:r>
      <w:r w:rsidRPr="003A01F0">
        <w:t>-</w:t>
      </w:r>
      <w:r w:rsidR="00C812B3" w:rsidRPr="003A01F0">
        <w:t>4775</w:t>
      </w:r>
      <w:r w:rsidR="00C812B3" w:rsidRPr="003A01F0">
        <w:tab/>
      </w:r>
      <w:r w:rsidRPr="003A01F0">
        <w:tab/>
        <w:t xml:space="preserve">Letnik </w:t>
      </w:r>
      <w:r w:rsidR="00BB63A1" w:rsidRPr="003A01F0">
        <w:t>38</w:t>
      </w:r>
      <w:r w:rsidRPr="003A01F0">
        <w:t>, št.</w:t>
      </w:r>
      <w:r w:rsidR="004A3C5A" w:rsidRPr="003A01F0">
        <w:t xml:space="preserve"> </w:t>
      </w:r>
      <w:r w:rsidR="00FE2EEC" w:rsidRPr="003A01F0">
        <w:t>9</w:t>
      </w:r>
      <w:r w:rsidR="00BB63A1" w:rsidRPr="003A01F0">
        <w:tab/>
      </w:r>
      <w:r w:rsidR="00BB63A1" w:rsidRPr="003A01F0">
        <w:tab/>
      </w:r>
      <w:r w:rsidR="00FE2EEC" w:rsidRPr="003A01F0">
        <w:t>22</w:t>
      </w:r>
      <w:r w:rsidR="00BB63A1" w:rsidRPr="003A01F0">
        <w:t>.</w:t>
      </w:r>
      <w:r w:rsidR="00C3124A" w:rsidRPr="003A01F0">
        <w:t xml:space="preserve"> </w:t>
      </w:r>
      <w:r w:rsidR="008B3693" w:rsidRPr="003A01F0">
        <w:t>julij</w:t>
      </w:r>
      <w:r w:rsidRPr="003A01F0">
        <w:t xml:space="preserve"> 2021</w:t>
      </w:r>
    </w:p>
    <w:p w14:paraId="6B7E458E" w14:textId="77777777" w:rsidR="0054066A" w:rsidRPr="003A01F0" w:rsidRDefault="0045527A" w:rsidP="0054066A">
      <w:pPr>
        <w:pStyle w:val="Naslov2"/>
        <w:rPr>
          <w:lang w:val="sl-SI"/>
        </w:rPr>
      </w:pPr>
      <w:r w:rsidRPr="003A01F0">
        <w:rPr>
          <w:lang w:val="sl-SI"/>
        </w:rPr>
        <w:t>VARSTVO HMELJA</w:t>
      </w:r>
    </w:p>
    <w:p w14:paraId="663F40CF" w14:textId="77777777" w:rsidR="00F16373" w:rsidRPr="003A01F0" w:rsidRDefault="00F16373" w:rsidP="00634292">
      <w:pPr>
        <w:pStyle w:val="Naslov3"/>
        <w:rPr>
          <w:lang w:val="sl-SI"/>
        </w:rPr>
      </w:pPr>
      <w:r w:rsidRPr="003A01F0">
        <w:rPr>
          <w:lang w:val="sl-SI"/>
        </w:rPr>
        <w:t xml:space="preserve">Hmeljeva peronospora </w:t>
      </w:r>
    </w:p>
    <w:p w14:paraId="23A63884" w14:textId="6BD4653E" w:rsidR="00F16373" w:rsidRPr="003A01F0" w:rsidRDefault="00F16373" w:rsidP="00634292">
      <w:pPr>
        <w:pStyle w:val="Navadensplet"/>
        <w:jc w:val="both"/>
        <w:rPr>
          <w:rFonts w:cs="Arial"/>
        </w:rPr>
      </w:pPr>
      <w:r w:rsidRPr="003A01F0">
        <w:rPr>
          <w:rFonts w:ascii="Calibri" w:hAnsi="Calibri" w:cs="Arial"/>
          <w:sz w:val="22"/>
          <w:szCs w:val="22"/>
        </w:rPr>
        <w:t xml:space="preserve">Iz grafov ulova spor (slika 1) je razvidno, </w:t>
      </w:r>
      <w:r w:rsidR="00C50984" w:rsidRPr="003A01F0">
        <w:rPr>
          <w:rFonts w:ascii="Calibri" w:hAnsi="Calibri" w:cs="Arial"/>
          <w:sz w:val="22"/>
          <w:szCs w:val="22"/>
        </w:rPr>
        <w:t xml:space="preserve">da </w:t>
      </w:r>
      <w:r w:rsidR="00514C90" w:rsidRPr="003A01F0">
        <w:rPr>
          <w:rFonts w:ascii="Calibri" w:hAnsi="Calibri" w:cs="Arial"/>
          <w:sz w:val="22"/>
          <w:szCs w:val="22"/>
        </w:rPr>
        <w:t xml:space="preserve">je stanje ostalo nespremenjeno na vseh lokacijah </w:t>
      </w:r>
      <w:r w:rsidR="00C50984" w:rsidRPr="003A01F0">
        <w:rPr>
          <w:rFonts w:ascii="Calibri" w:hAnsi="Calibri" w:cs="Arial"/>
          <w:sz w:val="22"/>
          <w:szCs w:val="22"/>
        </w:rPr>
        <w:t>ne beležimo ulova spor oz.</w:t>
      </w:r>
      <w:r w:rsidR="00E45516" w:rsidRPr="003A01F0">
        <w:rPr>
          <w:rFonts w:ascii="Calibri" w:hAnsi="Calibri" w:cs="Arial"/>
          <w:sz w:val="22"/>
          <w:szCs w:val="22"/>
        </w:rPr>
        <w:t xml:space="preserve"> so</w:t>
      </w:r>
      <w:r w:rsidR="00C50984" w:rsidRPr="003A01F0">
        <w:rPr>
          <w:rFonts w:ascii="Calibri" w:hAnsi="Calibri" w:cs="Arial"/>
          <w:sz w:val="22"/>
          <w:szCs w:val="22"/>
        </w:rPr>
        <w:t xml:space="preserve"> le te mestoma posamično prisotne vendar daleč pod kritično mejo.</w:t>
      </w:r>
      <w:r w:rsidRPr="003A01F0">
        <w:rPr>
          <w:rFonts w:ascii="Calibri" w:hAnsi="Calibri" w:cs="Arial"/>
          <w:sz w:val="22"/>
          <w:szCs w:val="22"/>
        </w:rPr>
        <w:t xml:space="preserve"> </w:t>
      </w:r>
      <w:r w:rsidR="006E78FB" w:rsidRPr="003A01F0">
        <w:rPr>
          <w:rFonts w:ascii="Calibri" w:hAnsi="Calibri" w:cs="Arial"/>
          <w:sz w:val="22"/>
          <w:szCs w:val="22"/>
        </w:rPr>
        <w:t>Vendar velja poudariti,</w:t>
      </w:r>
      <w:r w:rsidR="00514C90" w:rsidRPr="003A01F0">
        <w:rPr>
          <w:rFonts w:ascii="Calibri" w:hAnsi="Calibri" w:cs="Arial"/>
          <w:sz w:val="22"/>
          <w:szCs w:val="22"/>
        </w:rPr>
        <w:t xml:space="preserve"> da so v zadnjih dneh padle obilne padavine in izprale fungicidi nanos (na merjenih lokacijah je povsod v dveh dneh padlo več kot 60 mm padavin)</w:t>
      </w:r>
      <w:r w:rsidR="006E78FB" w:rsidRPr="003A01F0">
        <w:rPr>
          <w:rFonts w:ascii="Calibri" w:hAnsi="Calibri" w:cs="Arial"/>
          <w:sz w:val="22"/>
          <w:szCs w:val="22"/>
        </w:rPr>
        <w:t>, ostaja</w:t>
      </w:r>
      <w:r w:rsidR="00C50984" w:rsidRPr="003A01F0">
        <w:rPr>
          <w:rFonts w:ascii="Calibri" w:hAnsi="Calibri" w:cs="Arial"/>
          <w:sz w:val="22"/>
          <w:szCs w:val="22"/>
        </w:rPr>
        <w:t xml:space="preserve"> </w:t>
      </w:r>
      <w:r w:rsidR="00514C90" w:rsidRPr="003A01F0">
        <w:rPr>
          <w:rFonts w:ascii="Calibri" w:hAnsi="Calibri" w:cs="Arial"/>
          <w:sz w:val="22"/>
          <w:szCs w:val="22"/>
        </w:rPr>
        <w:t xml:space="preserve">hmelj v </w:t>
      </w:r>
      <w:r w:rsidR="006E78FB" w:rsidRPr="003A01F0">
        <w:rPr>
          <w:rFonts w:ascii="Calibri" w:hAnsi="Calibri" w:cs="Arial"/>
          <w:sz w:val="22"/>
          <w:szCs w:val="22"/>
        </w:rPr>
        <w:t xml:space="preserve">občutljivi </w:t>
      </w:r>
      <w:r w:rsidR="00E45516" w:rsidRPr="003A01F0">
        <w:rPr>
          <w:rFonts w:ascii="Calibri" w:hAnsi="Calibri" w:cs="Arial"/>
          <w:sz w:val="22"/>
          <w:szCs w:val="22"/>
        </w:rPr>
        <w:t>faz</w:t>
      </w:r>
      <w:r w:rsidR="00514C90" w:rsidRPr="003A01F0">
        <w:rPr>
          <w:rFonts w:ascii="Calibri" w:hAnsi="Calibri" w:cs="Arial"/>
          <w:sz w:val="22"/>
          <w:szCs w:val="22"/>
        </w:rPr>
        <w:t>i</w:t>
      </w:r>
      <w:r w:rsidR="00E45516" w:rsidRPr="003A01F0">
        <w:rPr>
          <w:rFonts w:ascii="Calibri" w:hAnsi="Calibri" w:cs="Arial"/>
          <w:sz w:val="22"/>
          <w:szCs w:val="22"/>
        </w:rPr>
        <w:t xml:space="preserve"> polnega cvetenja</w:t>
      </w:r>
      <w:r w:rsidR="00C50984" w:rsidRPr="003A01F0">
        <w:rPr>
          <w:rFonts w:ascii="Calibri" w:hAnsi="Calibri" w:cs="Arial"/>
          <w:sz w:val="22"/>
          <w:szCs w:val="22"/>
        </w:rPr>
        <w:t xml:space="preserve">, </w:t>
      </w:r>
      <w:r w:rsidR="006E78FB" w:rsidRPr="003A01F0">
        <w:rPr>
          <w:rFonts w:ascii="Calibri" w:hAnsi="Calibri" w:cs="Arial"/>
          <w:sz w:val="22"/>
          <w:szCs w:val="22"/>
        </w:rPr>
        <w:t>nezaščiten.</w:t>
      </w:r>
    </w:p>
    <w:tbl>
      <w:tblPr>
        <w:tblW w:w="984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5103"/>
      </w:tblGrid>
      <w:tr w:rsidR="00F16373" w:rsidRPr="003A01F0" w14:paraId="3F442BBD" w14:textId="77777777" w:rsidTr="00634292">
        <w:trPr>
          <w:trHeight w:val="3348"/>
        </w:trPr>
        <w:tc>
          <w:tcPr>
            <w:tcW w:w="4745" w:type="dxa"/>
            <w:vAlign w:val="center"/>
          </w:tcPr>
          <w:p w14:paraId="3AD2E856" w14:textId="77777777" w:rsidR="00F16373" w:rsidRPr="003A01F0" w:rsidRDefault="00FE2EEC" w:rsidP="00634292">
            <w:pPr>
              <w:rPr>
                <w:rFonts w:ascii="Arial" w:hAnsi="Arial" w:cs="Arial"/>
                <w:lang w:val="sl-SI"/>
              </w:rPr>
            </w:pPr>
            <w:r w:rsidRPr="003A01F0">
              <w:rPr>
                <w:rFonts w:ascii="Arial" w:hAnsi="Arial" w:cs="Arial"/>
                <w:noProof/>
                <w:lang w:val="sl-SI" w:eastAsia="sl-SI"/>
              </w:rPr>
              <w:drawing>
                <wp:inline distT="0" distB="0" distL="0" distR="0" wp14:anchorId="5513CF9E" wp14:editId="7410D223">
                  <wp:extent cx="2886323" cy="2452370"/>
                  <wp:effectExtent l="0" t="0" r="9525" b="508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810" cy="24697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4827F08D" w14:textId="77777777" w:rsidR="00F16373" w:rsidRPr="003A01F0" w:rsidRDefault="00FE2EEC" w:rsidP="00634292">
            <w:pPr>
              <w:rPr>
                <w:rFonts w:ascii="Arial" w:hAnsi="Arial" w:cs="Arial"/>
                <w:lang w:val="sl-SI"/>
              </w:rPr>
            </w:pPr>
            <w:r w:rsidRPr="003A01F0">
              <w:rPr>
                <w:rFonts w:ascii="Arial" w:hAnsi="Arial" w:cs="Arial"/>
                <w:noProof/>
                <w:lang w:val="sl-SI" w:eastAsia="sl-SI"/>
              </w:rPr>
              <w:drawing>
                <wp:inline distT="0" distB="0" distL="0" distR="0" wp14:anchorId="445A7E94" wp14:editId="5EB6C2F7">
                  <wp:extent cx="3108446" cy="2337683"/>
                  <wp:effectExtent l="0" t="0" r="0" b="571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057" cy="2361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373" w:rsidRPr="003A01F0" w14:paraId="300564BD" w14:textId="77777777" w:rsidTr="00634292">
        <w:trPr>
          <w:trHeight w:val="3902"/>
        </w:trPr>
        <w:tc>
          <w:tcPr>
            <w:tcW w:w="4745" w:type="dxa"/>
            <w:vAlign w:val="center"/>
          </w:tcPr>
          <w:p w14:paraId="354EB552" w14:textId="77777777" w:rsidR="00F16373" w:rsidRPr="003A01F0" w:rsidRDefault="00FE2EEC" w:rsidP="00634292">
            <w:pPr>
              <w:rPr>
                <w:rFonts w:ascii="Arial" w:hAnsi="Arial" w:cs="Arial"/>
                <w:lang w:val="sl-SI"/>
              </w:rPr>
            </w:pPr>
            <w:r w:rsidRPr="003A01F0">
              <w:rPr>
                <w:rFonts w:ascii="Arial" w:hAnsi="Arial" w:cs="Arial"/>
                <w:noProof/>
                <w:lang w:val="sl-SI" w:eastAsia="sl-SI"/>
              </w:rPr>
              <w:drawing>
                <wp:inline distT="0" distB="0" distL="0" distR="0" wp14:anchorId="24625759" wp14:editId="6BBDAE19">
                  <wp:extent cx="2903298" cy="2324404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365" cy="2335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278EE574" w14:textId="77777777" w:rsidR="00F16373" w:rsidRPr="003A01F0" w:rsidRDefault="00514C90" w:rsidP="00634292">
            <w:pPr>
              <w:rPr>
                <w:rFonts w:ascii="Arial" w:hAnsi="Arial" w:cs="Arial"/>
                <w:lang w:val="sl-SI"/>
              </w:rPr>
            </w:pPr>
            <w:r w:rsidRPr="003A01F0">
              <w:rPr>
                <w:rFonts w:ascii="Arial" w:hAnsi="Arial" w:cs="Arial"/>
                <w:noProof/>
                <w:lang w:val="sl-SI" w:eastAsia="sl-SI"/>
              </w:rPr>
              <w:drawing>
                <wp:inline distT="0" distB="0" distL="0" distR="0" wp14:anchorId="66CCDAD5" wp14:editId="5BF410FE">
                  <wp:extent cx="3108960" cy="2388758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772" cy="24070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67914" w14:textId="77777777" w:rsidR="00514C90" w:rsidRPr="003A01F0" w:rsidRDefault="00514C90" w:rsidP="00CD3149">
      <w:pPr>
        <w:rPr>
          <w:b/>
          <w:lang w:val="sl-SI"/>
        </w:rPr>
      </w:pPr>
    </w:p>
    <w:p w14:paraId="5F8FECF9" w14:textId="77777777" w:rsidR="00514C90" w:rsidRPr="003A01F0" w:rsidRDefault="00514C90" w:rsidP="00514C90">
      <w:pPr>
        <w:jc w:val="center"/>
        <w:rPr>
          <w:b/>
          <w:lang w:val="sl-SI"/>
        </w:rPr>
      </w:pPr>
      <w:r w:rsidRPr="003A01F0">
        <w:rPr>
          <w:b/>
          <w:noProof/>
          <w:lang w:val="sl-SI" w:eastAsia="sl-SI"/>
        </w:rPr>
        <w:drawing>
          <wp:inline distT="0" distB="0" distL="0" distR="0" wp14:anchorId="3D3CC487" wp14:editId="5F4C4A3B">
            <wp:extent cx="3043748" cy="2438773"/>
            <wp:effectExtent l="0" t="0" r="4445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121" cy="24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5EBA07" w14:textId="0D1E8175" w:rsidR="00514C90" w:rsidRDefault="00F16373" w:rsidP="00EC452E">
      <w:pPr>
        <w:jc w:val="both"/>
        <w:rPr>
          <w:b/>
          <w:lang w:val="sl-SI"/>
        </w:rPr>
      </w:pPr>
      <w:r w:rsidRPr="003A01F0">
        <w:rPr>
          <w:b/>
          <w:lang w:val="sl-SI"/>
        </w:rPr>
        <w:t xml:space="preserve">Slika </w:t>
      </w:r>
      <w:r w:rsidR="00C50984" w:rsidRPr="003A01F0">
        <w:rPr>
          <w:b/>
          <w:lang w:val="sl-SI"/>
        </w:rPr>
        <w:t>1</w:t>
      </w:r>
      <w:r w:rsidRPr="003A01F0">
        <w:rPr>
          <w:b/>
          <w:lang w:val="sl-SI"/>
        </w:rPr>
        <w:t>: Ulov spor v štirih zaporednih dneh na različnih lokacijah</w:t>
      </w:r>
    </w:p>
    <w:p w14:paraId="66590EA3" w14:textId="77777777" w:rsidR="008B5110" w:rsidRPr="008B5110" w:rsidRDefault="008B5110" w:rsidP="00EC452E">
      <w:pPr>
        <w:jc w:val="both"/>
        <w:rPr>
          <w:b/>
          <w:lang w:val="sl-SI"/>
        </w:rPr>
      </w:pPr>
    </w:p>
    <w:p w14:paraId="00136DAC" w14:textId="4D08D072" w:rsidR="004A3C5A" w:rsidRPr="003A01F0" w:rsidRDefault="006E78FB" w:rsidP="00EC452E">
      <w:pPr>
        <w:jc w:val="both"/>
        <w:rPr>
          <w:rFonts w:cs="Calibri"/>
          <w:color w:val="000000"/>
          <w:lang w:val="sl-SI"/>
        </w:rPr>
      </w:pPr>
      <w:r w:rsidRPr="003A01F0">
        <w:rPr>
          <w:rFonts w:cs="Calibri"/>
          <w:lang w:val="sl-SI"/>
        </w:rPr>
        <w:t xml:space="preserve">Svetujemo vam, da takoj ko bo mogoče opravite drugo škropljenje v cvet. V kolikor v nasadih nimate težav z hmeljevo peronosporo bi tokrat </w:t>
      </w:r>
      <w:r w:rsidR="004A3C5A" w:rsidRPr="003A01F0">
        <w:rPr>
          <w:rFonts w:cs="Calibri"/>
          <w:lang w:val="sl-SI"/>
        </w:rPr>
        <w:t xml:space="preserve">dali </w:t>
      </w:r>
      <w:r w:rsidRPr="003A01F0">
        <w:rPr>
          <w:rFonts w:cs="Calibri"/>
          <w:lang w:val="sl-SI"/>
        </w:rPr>
        <w:t xml:space="preserve">prednost enemu od bakrovih pripravkov - </w:t>
      </w:r>
      <w:proofErr w:type="spellStart"/>
      <w:r w:rsidRPr="003A01F0">
        <w:rPr>
          <w:rFonts w:cs="Calibri"/>
          <w:lang w:val="sl-SI"/>
        </w:rPr>
        <w:t>Badge</w:t>
      </w:r>
      <w:proofErr w:type="spellEnd"/>
      <w:r w:rsidRPr="003A01F0">
        <w:rPr>
          <w:rFonts w:cs="Calibri"/>
          <w:color w:val="000000"/>
          <w:lang w:val="sl-SI"/>
        </w:rPr>
        <w:t xml:space="preserve"> v odmerku 7,14 kg/ha ali</w:t>
      </w:r>
      <w:r w:rsidRPr="003A01F0">
        <w:rPr>
          <w:rFonts w:cs="Calibri"/>
          <w:lang w:val="sl-SI"/>
        </w:rPr>
        <w:t xml:space="preserve"> </w:t>
      </w:r>
      <w:proofErr w:type="spellStart"/>
      <w:r w:rsidRPr="003A01F0">
        <w:rPr>
          <w:rFonts w:cs="Calibri"/>
          <w:lang w:val="sl-SI"/>
        </w:rPr>
        <w:t>Cuprablau</w:t>
      </w:r>
      <w:proofErr w:type="spellEnd"/>
      <w:r w:rsidRPr="003A01F0">
        <w:rPr>
          <w:rFonts w:cs="Calibri"/>
          <w:lang w:val="sl-SI"/>
        </w:rPr>
        <w:t xml:space="preserve"> Z 35 WP</w:t>
      </w:r>
      <w:r w:rsidRPr="003A01F0">
        <w:rPr>
          <w:rFonts w:cs="Calibri"/>
          <w:color w:val="000000"/>
          <w:lang w:val="sl-SI"/>
        </w:rPr>
        <w:t xml:space="preserve"> v odmerku 5,5 kg/ha</w:t>
      </w:r>
      <w:r w:rsidRPr="003A01F0">
        <w:rPr>
          <w:rFonts w:cs="Calibri"/>
          <w:lang w:val="sl-SI"/>
        </w:rPr>
        <w:t xml:space="preserve">, uporabite pa lahko tudi </w:t>
      </w:r>
      <w:proofErr w:type="spellStart"/>
      <w:r w:rsidRPr="003A01F0">
        <w:rPr>
          <w:rFonts w:cs="Calibri"/>
          <w:color w:val="000000"/>
          <w:lang w:val="sl-SI"/>
        </w:rPr>
        <w:t>Folpna</w:t>
      </w:r>
      <w:proofErr w:type="spellEnd"/>
      <w:r w:rsidRPr="003A01F0">
        <w:rPr>
          <w:rFonts w:cs="Calibri"/>
          <w:color w:val="000000"/>
          <w:lang w:val="sl-SI"/>
        </w:rPr>
        <w:t xml:space="preserve"> </w:t>
      </w:r>
      <w:r w:rsidRPr="003A01F0">
        <w:rPr>
          <w:rFonts w:cs="Calibri"/>
          <w:lang w:val="sl-SI"/>
        </w:rPr>
        <w:t>80 WDG</w:t>
      </w:r>
      <w:r w:rsidRPr="003A01F0">
        <w:rPr>
          <w:rFonts w:cs="Calibri"/>
          <w:color w:val="000000"/>
          <w:lang w:val="sl-SI"/>
        </w:rPr>
        <w:t xml:space="preserve"> v odmerku 4,68 kg/ha. V kolikor imate v nasadih še vedno prisotno hmeljevo peronosporo svetujemo uporabo </w:t>
      </w:r>
      <w:r w:rsidRPr="003A01F0">
        <w:rPr>
          <w:rFonts w:cs="Calibri"/>
          <w:lang w:val="sl-SI"/>
        </w:rPr>
        <w:t xml:space="preserve">pripravkov na osnovi </w:t>
      </w:r>
      <w:proofErr w:type="spellStart"/>
      <w:r w:rsidRPr="003A01F0">
        <w:rPr>
          <w:rFonts w:cs="Calibri"/>
          <w:lang w:val="sl-SI"/>
        </w:rPr>
        <w:t>a.s</w:t>
      </w:r>
      <w:proofErr w:type="spellEnd"/>
      <w:r w:rsidRPr="003A01F0">
        <w:rPr>
          <w:rFonts w:cs="Calibri"/>
          <w:lang w:val="sl-SI"/>
        </w:rPr>
        <w:t xml:space="preserve">. </w:t>
      </w:r>
      <w:proofErr w:type="spellStart"/>
      <w:r w:rsidRPr="003A01F0">
        <w:rPr>
          <w:rFonts w:cs="Calibri"/>
          <w:lang w:val="sl-SI"/>
        </w:rPr>
        <w:t>azoksistrobin</w:t>
      </w:r>
      <w:proofErr w:type="spellEnd"/>
      <w:r w:rsidRPr="003A01F0">
        <w:rPr>
          <w:rFonts w:cs="Calibri"/>
          <w:lang w:val="sl-SI"/>
        </w:rPr>
        <w:t xml:space="preserve"> kot sta </w:t>
      </w:r>
      <w:proofErr w:type="spellStart"/>
      <w:r w:rsidRPr="003A01F0">
        <w:rPr>
          <w:rFonts w:cs="Calibri"/>
          <w:lang w:val="sl-SI"/>
        </w:rPr>
        <w:t>Ortiva</w:t>
      </w:r>
      <w:proofErr w:type="spellEnd"/>
      <w:r w:rsidRPr="003A01F0">
        <w:rPr>
          <w:rFonts w:cs="Calibri"/>
          <w:lang w:val="sl-SI"/>
        </w:rPr>
        <w:t xml:space="preserve"> ali </w:t>
      </w:r>
      <w:proofErr w:type="spellStart"/>
      <w:r w:rsidRPr="003A01F0">
        <w:rPr>
          <w:rFonts w:cs="Calibri"/>
          <w:lang w:val="sl-SI"/>
        </w:rPr>
        <w:t>Zaftra</w:t>
      </w:r>
      <w:proofErr w:type="spellEnd"/>
      <w:r w:rsidRPr="003A01F0">
        <w:rPr>
          <w:rFonts w:cs="Calibri"/>
          <w:lang w:val="sl-SI"/>
        </w:rPr>
        <w:t xml:space="preserve"> AZT 250 SC, ki ju uporabite </w:t>
      </w:r>
      <w:r w:rsidRPr="003A01F0">
        <w:rPr>
          <w:rFonts w:cs="Calibri"/>
          <w:color w:val="000000"/>
          <w:lang w:val="sl-SI"/>
        </w:rPr>
        <w:t>v odmerku 1,6 l/ha. Pri</w:t>
      </w:r>
      <w:r w:rsidR="004A3C5A" w:rsidRPr="003A01F0">
        <w:rPr>
          <w:rFonts w:cs="Calibri"/>
          <w:color w:val="000000"/>
          <w:lang w:val="sl-SI"/>
        </w:rPr>
        <w:t xml:space="preserve"> uporabi FFS med</w:t>
      </w:r>
      <w:r w:rsidRPr="003A01F0">
        <w:rPr>
          <w:rFonts w:cs="Calibri"/>
          <w:color w:val="000000"/>
          <w:lang w:val="sl-SI"/>
        </w:rPr>
        <w:t xml:space="preserve"> </w:t>
      </w:r>
      <w:r w:rsidR="004A3C5A" w:rsidRPr="003A01F0">
        <w:rPr>
          <w:rFonts w:cs="Calibri"/>
          <w:color w:val="000000"/>
          <w:lang w:val="sl-SI"/>
        </w:rPr>
        <w:t xml:space="preserve">posameznimi sredstvi kolobarite in pri </w:t>
      </w:r>
      <w:r w:rsidRPr="003A01F0">
        <w:rPr>
          <w:rFonts w:cs="Calibri"/>
          <w:color w:val="000000"/>
          <w:lang w:val="sl-SI"/>
        </w:rPr>
        <w:t>škropljenju hmeljišč upošteva</w:t>
      </w:r>
      <w:r w:rsidR="004A3C5A" w:rsidRPr="003A01F0">
        <w:rPr>
          <w:rFonts w:cs="Calibri"/>
          <w:color w:val="000000"/>
          <w:lang w:val="sl-SI"/>
        </w:rPr>
        <w:t>jte</w:t>
      </w:r>
      <w:r w:rsidRPr="003A01F0">
        <w:rPr>
          <w:rFonts w:cs="Calibri"/>
          <w:color w:val="000000"/>
          <w:lang w:val="sl-SI"/>
        </w:rPr>
        <w:t xml:space="preserve"> odmike od voda, ki zanašajo pri </w:t>
      </w:r>
      <w:proofErr w:type="spellStart"/>
      <w:r w:rsidRPr="003A01F0">
        <w:rPr>
          <w:rFonts w:cs="Calibri"/>
          <w:lang w:val="sl-SI"/>
        </w:rPr>
        <w:t>Ortivi</w:t>
      </w:r>
      <w:proofErr w:type="spellEnd"/>
      <w:r w:rsidRPr="003A01F0">
        <w:rPr>
          <w:rFonts w:cs="Calibri"/>
          <w:lang w:val="sl-SI"/>
        </w:rPr>
        <w:t xml:space="preserve"> in </w:t>
      </w:r>
      <w:proofErr w:type="spellStart"/>
      <w:r w:rsidRPr="003A01F0">
        <w:rPr>
          <w:rFonts w:cs="Calibri"/>
          <w:lang w:val="sl-SI"/>
        </w:rPr>
        <w:t>Zaftri</w:t>
      </w:r>
      <w:proofErr w:type="spellEnd"/>
      <w:r w:rsidRPr="003A01F0">
        <w:rPr>
          <w:rFonts w:cs="Calibri"/>
          <w:lang w:val="sl-SI"/>
        </w:rPr>
        <w:t xml:space="preserve"> AZT 250 SC </w:t>
      </w:r>
      <w:r w:rsidRPr="003A01F0">
        <w:rPr>
          <w:rFonts w:cs="Calibri"/>
          <w:color w:val="000000"/>
          <w:lang w:val="sl-SI"/>
        </w:rPr>
        <w:t xml:space="preserve">20 m (1 in 2 red), </w:t>
      </w:r>
      <w:proofErr w:type="spellStart"/>
      <w:r w:rsidRPr="003A01F0">
        <w:rPr>
          <w:rFonts w:cs="Calibri"/>
          <w:color w:val="000000"/>
          <w:lang w:val="sl-SI"/>
        </w:rPr>
        <w:t>Folpanu</w:t>
      </w:r>
      <w:proofErr w:type="spellEnd"/>
      <w:r w:rsidRPr="003A01F0">
        <w:rPr>
          <w:rFonts w:cs="Calibri"/>
          <w:color w:val="000000"/>
          <w:lang w:val="sl-SI"/>
        </w:rPr>
        <w:t xml:space="preserve"> 80 WDG 30 m (1 in 2 red),</w:t>
      </w:r>
      <w:r w:rsidRPr="003A01F0">
        <w:rPr>
          <w:rFonts w:cs="Calibri"/>
          <w:lang w:val="sl-SI"/>
        </w:rPr>
        <w:t xml:space="preserve"> </w:t>
      </w:r>
      <w:proofErr w:type="spellStart"/>
      <w:r w:rsidRPr="003A01F0">
        <w:rPr>
          <w:rFonts w:cs="Calibri"/>
          <w:lang w:val="sl-SI"/>
        </w:rPr>
        <w:t>Cuprablau</w:t>
      </w:r>
      <w:proofErr w:type="spellEnd"/>
      <w:r w:rsidRPr="003A01F0">
        <w:rPr>
          <w:rFonts w:cs="Calibri"/>
          <w:lang w:val="sl-SI"/>
        </w:rPr>
        <w:t xml:space="preserve"> Z 35 WP </w:t>
      </w:r>
      <w:r w:rsidRPr="003A01F0">
        <w:rPr>
          <w:rFonts w:cs="Calibri"/>
          <w:color w:val="000000"/>
          <w:lang w:val="sl-SI"/>
        </w:rPr>
        <w:t>30 m (1 in 2 red),</w:t>
      </w:r>
      <w:r w:rsidRPr="003A01F0">
        <w:rPr>
          <w:rFonts w:cs="Calibri"/>
          <w:lang w:val="sl-SI"/>
        </w:rPr>
        <w:t xml:space="preserve"> </w:t>
      </w:r>
      <w:proofErr w:type="spellStart"/>
      <w:r w:rsidRPr="003A01F0">
        <w:rPr>
          <w:rFonts w:cs="Calibri"/>
          <w:lang w:val="sl-SI"/>
        </w:rPr>
        <w:t>Badge</w:t>
      </w:r>
      <w:proofErr w:type="spellEnd"/>
      <w:r w:rsidRPr="003A01F0">
        <w:rPr>
          <w:rFonts w:cs="Calibri"/>
          <w:color w:val="000000"/>
          <w:lang w:val="sl-SI"/>
        </w:rPr>
        <w:t xml:space="preserve"> 40 m (1 in 2 red).</w:t>
      </w:r>
    </w:p>
    <w:p w14:paraId="04630BC5" w14:textId="77777777" w:rsidR="00F16373" w:rsidRPr="003A01F0" w:rsidRDefault="00F16373" w:rsidP="00634292">
      <w:pPr>
        <w:pStyle w:val="Naslov3"/>
        <w:rPr>
          <w:lang w:val="sl-SI"/>
        </w:rPr>
      </w:pPr>
      <w:r w:rsidRPr="003A01F0">
        <w:rPr>
          <w:lang w:val="sl-SI"/>
        </w:rPr>
        <w:t>H</w:t>
      </w:r>
      <w:r w:rsidR="00EC452E" w:rsidRPr="003A01F0">
        <w:rPr>
          <w:lang w:val="sl-SI"/>
        </w:rPr>
        <w:t xml:space="preserve">meljeva pepelovka </w:t>
      </w:r>
    </w:p>
    <w:p w14:paraId="66C74574" w14:textId="0BEF0661" w:rsidR="00A241BA" w:rsidRPr="003A01F0" w:rsidRDefault="00A241BA" w:rsidP="00A241BA">
      <w:pPr>
        <w:jc w:val="both"/>
        <w:rPr>
          <w:rFonts w:cs="Calibri"/>
          <w:color w:val="000000"/>
          <w:lang w:val="sl-SI"/>
        </w:rPr>
      </w:pPr>
      <w:r w:rsidRPr="003A01F0">
        <w:rPr>
          <w:rFonts w:cs="Calibri"/>
          <w:color w:val="000000"/>
          <w:lang w:val="sl-SI"/>
        </w:rPr>
        <w:t xml:space="preserve">Svetujemo vam, da v vseh nasadih pričnete s preventivno uporabo enega od pripravkov namenjenih zatiranju hmeljeve pepelovke. Bolezen se  v naših razmerah običajno prične pojavljati v času polnega cvetenja in smo jo že zaznali v določenih nasadih. Vsekakor je  nevarna predvsem v nasadih občutljivih sort kot so </w:t>
      </w:r>
      <w:proofErr w:type="spellStart"/>
      <w:r w:rsidRPr="003A01F0">
        <w:rPr>
          <w:rFonts w:cs="Calibri"/>
          <w:color w:val="000000"/>
          <w:lang w:val="sl-SI"/>
        </w:rPr>
        <w:t>Magnum</w:t>
      </w:r>
      <w:proofErr w:type="spellEnd"/>
      <w:r w:rsidRPr="003A01F0">
        <w:rPr>
          <w:rFonts w:cs="Calibri"/>
          <w:color w:val="000000"/>
          <w:lang w:val="sl-SI"/>
        </w:rPr>
        <w:t xml:space="preserve">, Dana, </w:t>
      </w:r>
      <w:proofErr w:type="spellStart"/>
      <w:r w:rsidRPr="003A01F0">
        <w:rPr>
          <w:rFonts w:cs="Calibri"/>
          <w:color w:val="000000"/>
          <w:lang w:val="sl-SI"/>
        </w:rPr>
        <w:t>Celeia</w:t>
      </w:r>
      <w:proofErr w:type="spellEnd"/>
      <w:r w:rsidRPr="003A01F0">
        <w:rPr>
          <w:rFonts w:cs="Calibri"/>
          <w:color w:val="000000"/>
          <w:lang w:val="sl-SI"/>
        </w:rPr>
        <w:t xml:space="preserve"> ter Bobek. Uporabite lahko  pripravke na osnovi žvepla, v odmerku 6 kg/ha, na voljo sta tudi pripravka </w:t>
      </w:r>
      <w:proofErr w:type="spellStart"/>
      <w:r w:rsidRPr="003A01F0">
        <w:rPr>
          <w:rFonts w:cs="Calibri"/>
          <w:color w:val="000000"/>
          <w:lang w:val="sl-SI"/>
        </w:rPr>
        <w:t>Vivando</w:t>
      </w:r>
      <w:proofErr w:type="spellEnd"/>
      <w:r w:rsidRPr="003A01F0">
        <w:rPr>
          <w:rFonts w:cs="Calibri"/>
          <w:color w:val="000000"/>
          <w:lang w:val="sl-SI"/>
        </w:rPr>
        <w:t xml:space="preserve">, ki ga uporabite v odmerku 0, 66 l/ha vendar je njegova uporaba omejena 2 krat letno ali pa </w:t>
      </w:r>
      <w:proofErr w:type="spellStart"/>
      <w:r w:rsidRPr="003A01F0">
        <w:rPr>
          <w:rFonts w:cs="Calibri"/>
          <w:color w:val="000000"/>
          <w:lang w:val="sl-SI"/>
        </w:rPr>
        <w:t>Vitisan</w:t>
      </w:r>
      <w:proofErr w:type="spellEnd"/>
      <w:r w:rsidRPr="003A01F0">
        <w:rPr>
          <w:rFonts w:cs="Calibri"/>
          <w:color w:val="000000"/>
          <w:lang w:val="sl-SI"/>
        </w:rPr>
        <w:t xml:space="preserve">, ki ga uporabite v odmerku 12 kg/ha. </w:t>
      </w:r>
    </w:p>
    <w:p w14:paraId="05C0662E" w14:textId="77777777" w:rsidR="0045527A" w:rsidRPr="003A01F0" w:rsidRDefault="0045527A" w:rsidP="00634292">
      <w:pPr>
        <w:pStyle w:val="Naslov3"/>
        <w:rPr>
          <w:lang w:val="sl-SI"/>
        </w:rPr>
      </w:pPr>
      <w:r w:rsidRPr="003A01F0">
        <w:rPr>
          <w:lang w:val="sl-SI"/>
        </w:rPr>
        <w:t xml:space="preserve">Hmeljeva listna uš </w:t>
      </w:r>
    </w:p>
    <w:p w14:paraId="411C975A" w14:textId="77777777" w:rsidR="0045527A" w:rsidRPr="003A01F0" w:rsidRDefault="00FE2EEC" w:rsidP="004A3C5A">
      <w:pPr>
        <w:spacing w:after="0"/>
        <w:rPr>
          <w:rFonts w:cstheme="minorHAnsi"/>
          <w:lang w:val="sl-SI"/>
        </w:rPr>
      </w:pPr>
      <w:r w:rsidRPr="003A01F0">
        <w:rPr>
          <w:rFonts w:cstheme="minorHAnsi"/>
          <w:lang w:val="sl-SI"/>
        </w:rPr>
        <w:t xml:space="preserve">V splošnem hmeljeve listne uši na hmelju ne najdemo, mestoma hmeljarji še opazite posamične uši, predvsem na spodjem delu rastline. Ker so v hmeljiščih prisotni </w:t>
      </w:r>
      <w:proofErr w:type="spellStart"/>
      <w:r w:rsidRPr="003A01F0">
        <w:rPr>
          <w:rFonts w:cstheme="minorHAnsi"/>
          <w:lang w:val="sl-SI"/>
        </w:rPr>
        <w:t>predatorji</w:t>
      </w:r>
      <w:proofErr w:type="spellEnd"/>
      <w:r w:rsidRPr="003A01F0">
        <w:rPr>
          <w:rFonts w:cstheme="minorHAnsi"/>
          <w:lang w:val="sl-SI"/>
        </w:rPr>
        <w:t xml:space="preserve">, bodo opravili svojo vlogo. </w:t>
      </w:r>
    </w:p>
    <w:p w14:paraId="00E72AB8" w14:textId="77777777" w:rsidR="0045527A" w:rsidRPr="003A01F0" w:rsidRDefault="0045527A" w:rsidP="00634292">
      <w:pPr>
        <w:pStyle w:val="Naslov3"/>
        <w:rPr>
          <w:lang w:val="sl-SI"/>
        </w:rPr>
      </w:pPr>
      <w:r w:rsidRPr="003A01F0">
        <w:rPr>
          <w:lang w:val="sl-SI"/>
        </w:rPr>
        <w:t>Hmeljeva pršica</w:t>
      </w:r>
    </w:p>
    <w:p w14:paraId="3F5E9236" w14:textId="77777777" w:rsidR="00FE2EEC" w:rsidRPr="003A01F0" w:rsidRDefault="00FE2EEC" w:rsidP="00FE2EEC">
      <w:pPr>
        <w:spacing w:after="0"/>
        <w:jc w:val="both"/>
        <w:rPr>
          <w:rFonts w:cstheme="minorHAnsi"/>
          <w:u w:val="single"/>
          <w:lang w:val="sl-SI"/>
        </w:rPr>
      </w:pPr>
      <w:r w:rsidRPr="003A01F0">
        <w:rPr>
          <w:rFonts w:cstheme="minorHAnsi"/>
          <w:lang w:val="sl-SI"/>
        </w:rPr>
        <w:t xml:space="preserve">Kjer ste za zatiranje uši uporabili </w:t>
      </w:r>
      <w:proofErr w:type="spellStart"/>
      <w:r w:rsidRPr="003A01F0">
        <w:rPr>
          <w:rFonts w:cstheme="minorHAnsi"/>
          <w:lang w:val="sl-SI"/>
        </w:rPr>
        <w:t>sistemični</w:t>
      </w:r>
      <w:proofErr w:type="spellEnd"/>
      <w:r w:rsidRPr="003A01F0">
        <w:rPr>
          <w:rFonts w:cstheme="minorHAnsi"/>
          <w:lang w:val="sl-SI"/>
        </w:rPr>
        <w:t xml:space="preserve"> insekticid </w:t>
      </w:r>
      <w:proofErr w:type="spellStart"/>
      <w:r w:rsidRPr="003A01F0">
        <w:rPr>
          <w:rFonts w:cstheme="minorHAnsi"/>
          <w:lang w:val="sl-SI"/>
        </w:rPr>
        <w:t>Movento</w:t>
      </w:r>
      <w:proofErr w:type="spellEnd"/>
      <w:r w:rsidRPr="003A01F0">
        <w:rPr>
          <w:rFonts w:cstheme="minorHAnsi"/>
          <w:lang w:val="sl-SI"/>
        </w:rPr>
        <w:t xml:space="preserve">, ki ima delno stransko delovanje tudi na pršico, je potrebno hmeljišča natančno pregledati na prisotnost pršice. Natančen pregled in ugotovitev stanja glede pršice je potreben tudi v preostalih hmeljiščih. V splošnem v hmeljiščih opažamo sicer manjšo populacijo pršice. Še posebej bodite pozorni v hmeljiščih, kjer do sedaj niste uporabili nobenega </w:t>
      </w:r>
      <w:proofErr w:type="spellStart"/>
      <w:r w:rsidRPr="003A01F0">
        <w:rPr>
          <w:rFonts w:cstheme="minorHAnsi"/>
          <w:lang w:val="sl-SI"/>
        </w:rPr>
        <w:t>akaricida</w:t>
      </w:r>
      <w:proofErr w:type="spellEnd"/>
      <w:r w:rsidRPr="003A01F0">
        <w:rPr>
          <w:rFonts w:cstheme="minorHAnsi"/>
          <w:lang w:val="sl-SI"/>
        </w:rPr>
        <w:t xml:space="preserve">. V tem času vam priporočamo, da uporabite </w:t>
      </w:r>
      <w:proofErr w:type="spellStart"/>
      <w:r w:rsidRPr="003A01F0">
        <w:rPr>
          <w:rFonts w:cstheme="minorHAnsi"/>
          <w:b/>
          <w:lang w:val="sl-SI"/>
        </w:rPr>
        <w:t>akaricid</w:t>
      </w:r>
      <w:proofErr w:type="spellEnd"/>
      <w:r w:rsidRPr="003A01F0">
        <w:rPr>
          <w:rFonts w:cstheme="minorHAnsi"/>
          <w:b/>
          <w:lang w:val="sl-SI"/>
        </w:rPr>
        <w:t xml:space="preserve"> </w:t>
      </w:r>
      <w:proofErr w:type="spellStart"/>
      <w:r w:rsidRPr="003A01F0">
        <w:rPr>
          <w:rFonts w:cstheme="minorHAnsi"/>
          <w:b/>
          <w:lang w:val="sl-SI"/>
        </w:rPr>
        <w:t>Kanemite</w:t>
      </w:r>
      <w:proofErr w:type="spellEnd"/>
      <w:r w:rsidRPr="003A01F0">
        <w:rPr>
          <w:rFonts w:cstheme="minorHAnsi"/>
          <w:b/>
          <w:lang w:val="sl-SI"/>
        </w:rPr>
        <w:t xml:space="preserve"> SC v odmerku od 3,15 l/ha (konec cvetenja).</w:t>
      </w:r>
      <w:r w:rsidRPr="003A01F0">
        <w:rPr>
          <w:rFonts w:cstheme="minorHAnsi"/>
          <w:lang w:val="sl-SI"/>
        </w:rPr>
        <w:t xml:space="preserve"> </w:t>
      </w:r>
      <w:proofErr w:type="spellStart"/>
      <w:r w:rsidRPr="003A01F0">
        <w:rPr>
          <w:rFonts w:cstheme="minorHAnsi"/>
          <w:lang w:val="sl-SI"/>
        </w:rPr>
        <w:t>Akaricid</w:t>
      </w:r>
      <w:proofErr w:type="spellEnd"/>
      <w:r w:rsidRPr="003A01F0">
        <w:rPr>
          <w:rFonts w:cstheme="minorHAnsi"/>
          <w:lang w:val="sl-SI"/>
        </w:rPr>
        <w:t xml:space="preserve"> </w:t>
      </w:r>
      <w:proofErr w:type="spellStart"/>
      <w:r w:rsidRPr="003A01F0">
        <w:rPr>
          <w:rFonts w:cstheme="minorHAnsi"/>
          <w:lang w:val="sl-SI"/>
        </w:rPr>
        <w:t>Kanemite</w:t>
      </w:r>
      <w:proofErr w:type="spellEnd"/>
      <w:r w:rsidRPr="003A01F0">
        <w:rPr>
          <w:rFonts w:cstheme="minorHAnsi"/>
          <w:lang w:val="sl-SI"/>
        </w:rPr>
        <w:t xml:space="preserve"> SC, ki vsebuje aktivno snovjo </w:t>
      </w:r>
      <w:proofErr w:type="spellStart"/>
      <w:r w:rsidRPr="003A01F0">
        <w:rPr>
          <w:rFonts w:cstheme="minorHAnsi"/>
          <w:lang w:val="sl-SI"/>
        </w:rPr>
        <w:t>acekvinocil</w:t>
      </w:r>
      <w:proofErr w:type="spellEnd"/>
      <w:r w:rsidRPr="003A01F0">
        <w:rPr>
          <w:rFonts w:cstheme="minorHAnsi"/>
          <w:lang w:val="sl-SI"/>
        </w:rPr>
        <w:t xml:space="preserve">, ima odlično delovanje na ličinke in nimfe, dobro deluje tudi na odrasle pršice, ima pa tudi stransko delovanje na jajčeca. </w:t>
      </w:r>
      <w:proofErr w:type="spellStart"/>
      <w:r w:rsidRPr="003A01F0">
        <w:rPr>
          <w:rFonts w:cstheme="minorHAnsi"/>
          <w:lang w:val="sl-SI"/>
        </w:rPr>
        <w:t>Kanemite</w:t>
      </w:r>
      <w:proofErr w:type="spellEnd"/>
      <w:r w:rsidRPr="003A01F0">
        <w:rPr>
          <w:rFonts w:cstheme="minorHAnsi"/>
          <w:lang w:val="sl-SI"/>
        </w:rPr>
        <w:t xml:space="preserve"> ima kontaktno in želodčno delovanje z dolgotrajnim učinkom. </w:t>
      </w:r>
      <w:proofErr w:type="spellStart"/>
      <w:r w:rsidRPr="003A01F0">
        <w:rPr>
          <w:rFonts w:cstheme="minorHAnsi"/>
          <w:lang w:val="sl-SI"/>
        </w:rPr>
        <w:lastRenderedPageBreak/>
        <w:t>Kanemite</w:t>
      </w:r>
      <w:proofErr w:type="spellEnd"/>
      <w:r w:rsidRPr="003A01F0">
        <w:rPr>
          <w:rFonts w:cstheme="minorHAnsi"/>
          <w:lang w:val="sl-SI"/>
        </w:rPr>
        <w:t xml:space="preserve"> SC deluje pri nižjih temperaturah. Pripravek </w:t>
      </w:r>
      <w:proofErr w:type="spellStart"/>
      <w:r w:rsidRPr="003A01F0">
        <w:rPr>
          <w:rFonts w:cstheme="minorHAnsi"/>
          <w:lang w:val="sl-SI"/>
        </w:rPr>
        <w:t>Kanemite</w:t>
      </w:r>
      <w:proofErr w:type="spellEnd"/>
      <w:r w:rsidRPr="003A01F0">
        <w:rPr>
          <w:rFonts w:cstheme="minorHAnsi"/>
          <w:lang w:val="sl-SI"/>
        </w:rPr>
        <w:t xml:space="preserve"> SC je zelo občutljiv na visoke temperature, zato ga </w:t>
      </w:r>
      <w:r w:rsidRPr="003A01F0">
        <w:rPr>
          <w:rFonts w:cstheme="minorHAnsi"/>
          <w:u w:val="single"/>
          <w:lang w:val="sl-SI"/>
        </w:rPr>
        <w:t xml:space="preserve">ne puščate na vročem oz. soncu, še posebej ne v avtomobilu. </w:t>
      </w:r>
      <w:proofErr w:type="spellStart"/>
      <w:r w:rsidRPr="003A01F0">
        <w:rPr>
          <w:rFonts w:cstheme="minorHAnsi"/>
          <w:lang w:val="sl-SI"/>
        </w:rPr>
        <w:t>Kanemite</w:t>
      </w:r>
      <w:proofErr w:type="spellEnd"/>
      <w:r w:rsidRPr="003A01F0">
        <w:rPr>
          <w:rFonts w:cstheme="minorHAnsi"/>
          <w:lang w:val="sl-SI"/>
        </w:rPr>
        <w:t xml:space="preserve"> SC se lahko meša z insekticidi in fungicidi, razen z </w:t>
      </w:r>
      <w:proofErr w:type="spellStart"/>
      <w:r w:rsidRPr="003A01F0">
        <w:rPr>
          <w:rFonts w:cstheme="minorHAnsi"/>
          <w:lang w:val="sl-SI"/>
        </w:rPr>
        <w:t>a.s</w:t>
      </w:r>
      <w:proofErr w:type="spellEnd"/>
      <w:r w:rsidRPr="003A01F0">
        <w:rPr>
          <w:rFonts w:cstheme="minorHAnsi"/>
          <w:lang w:val="sl-SI"/>
        </w:rPr>
        <w:t xml:space="preserve">. </w:t>
      </w:r>
      <w:proofErr w:type="spellStart"/>
      <w:r w:rsidRPr="003A01F0">
        <w:rPr>
          <w:rFonts w:cstheme="minorHAnsi"/>
          <w:lang w:val="sl-SI"/>
        </w:rPr>
        <w:t>al-fosetil</w:t>
      </w:r>
      <w:proofErr w:type="spellEnd"/>
      <w:r w:rsidRPr="003A01F0">
        <w:rPr>
          <w:rFonts w:cstheme="minorHAnsi"/>
          <w:lang w:val="sl-SI"/>
        </w:rPr>
        <w:t xml:space="preserve"> (</w:t>
      </w:r>
      <w:proofErr w:type="spellStart"/>
      <w:r w:rsidRPr="003A01F0">
        <w:rPr>
          <w:rFonts w:cstheme="minorHAnsi"/>
          <w:lang w:val="sl-SI"/>
        </w:rPr>
        <w:t>Aliette</w:t>
      </w:r>
      <w:proofErr w:type="spellEnd"/>
      <w:r w:rsidRPr="003A01F0">
        <w:rPr>
          <w:rFonts w:cstheme="minorHAnsi"/>
          <w:lang w:val="sl-SI"/>
        </w:rPr>
        <w:t xml:space="preserve">). Uporaba </w:t>
      </w:r>
      <w:proofErr w:type="spellStart"/>
      <w:r w:rsidRPr="003A01F0">
        <w:rPr>
          <w:rFonts w:cstheme="minorHAnsi"/>
          <w:lang w:val="sl-SI"/>
        </w:rPr>
        <w:t>akaricida</w:t>
      </w:r>
      <w:proofErr w:type="spellEnd"/>
      <w:r w:rsidRPr="003A01F0">
        <w:rPr>
          <w:rFonts w:cstheme="minorHAnsi"/>
          <w:lang w:val="sl-SI"/>
        </w:rPr>
        <w:t xml:space="preserve"> </w:t>
      </w:r>
      <w:proofErr w:type="spellStart"/>
      <w:r w:rsidRPr="003A01F0">
        <w:rPr>
          <w:rFonts w:cstheme="minorHAnsi"/>
          <w:lang w:val="sl-SI"/>
        </w:rPr>
        <w:t>Kanemite</w:t>
      </w:r>
      <w:proofErr w:type="spellEnd"/>
      <w:r w:rsidRPr="003A01F0">
        <w:rPr>
          <w:rFonts w:cstheme="minorHAnsi"/>
          <w:lang w:val="sl-SI"/>
        </w:rPr>
        <w:t xml:space="preserve"> SC je dovoljen 1-krat letno, njegova karenca je 21 dni. V primeru, da se odločite za uporabo </w:t>
      </w:r>
      <w:proofErr w:type="spellStart"/>
      <w:r w:rsidRPr="003A01F0">
        <w:rPr>
          <w:rFonts w:cstheme="minorHAnsi"/>
          <w:lang w:val="sl-SI"/>
        </w:rPr>
        <w:t>akaricida</w:t>
      </w:r>
      <w:proofErr w:type="spellEnd"/>
      <w:r w:rsidRPr="003A01F0">
        <w:rPr>
          <w:rFonts w:cstheme="minorHAnsi"/>
          <w:lang w:val="sl-SI"/>
        </w:rPr>
        <w:t xml:space="preserve"> </w:t>
      </w:r>
      <w:proofErr w:type="spellStart"/>
      <w:r w:rsidRPr="003A01F0">
        <w:rPr>
          <w:rFonts w:cstheme="minorHAnsi"/>
          <w:lang w:val="sl-SI"/>
        </w:rPr>
        <w:t>Nissorun</w:t>
      </w:r>
      <w:proofErr w:type="spellEnd"/>
      <w:r w:rsidRPr="003A01F0">
        <w:rPr>
          <w:rFonts w:cstheme="minorHAnsi"/>
          <w:lang w:val="sl-SI"/>
        </w:rPr>
        <w:t xml:space="preserve"> 10 WP in </w:t>
      </w:r>
      <w:proofErr w:type="spellStart"/>
      <w:r w:rsidRPr="003A01F0">
        <w:rPr>
          <w:rFonts w:cstheme="minorHAnsi"/>
          <w:lang w:val="sl-SI"/>
        </w:rPr>
        <w:t>Nissorun</w:t>
      </w:r>
      <w:proofErr w:type="spellEnd"/>
      <w:r w:rsidRPr="003A01F0">
        <w:rPr>
          <w:rFonts w:cstheme="minorHAnsi"/>
          <w:lang w:val="sl-SI"/>
        </w:rPr>
        <w:t xml:space="preserve"> 250 SC ter </w:t>
      </w:r>
      <w:proofErr w:type="spellStart"/>
      <w:r w:rsidRPr="003A01F0">
        <w:rPr>
          <w:rFonts w:cstheme="minorHAnsi"/>
          <w:lang w:val="sl-SI"/>
        </w:rPr>
        <w:t>Vertimec</w:t>
      </w:r>
      <w:proofErr w:type="spellEnd"/>
      <w:r w:rsidRPr="003A01F0">
        <w:rPr>
          <w:rFonts w:cstheme="minorHAnsi"/>
          <w:lang w:val="sl-SI"/>
        </w:rPr>
        <w:t xml:space="preserve"> PRO morate biti previdni glede karence, saj imajo karenco 28 dni.</w:t>
      </w:r>
    </w:p>
    <w:p w14:paraId="2A1BF265" w14:textId="77777777" w:rsidR="00FE2EEC" w:rsidRPr="003A01F0" w:rsidRDefault="00FE2EEC" w:rsidP="00FE2EEC">
      <w:pPr>
        <w:spacing w:after="0"/>
        <w:jc w:val="both"/>
        <w:rPr>
          <w:rFonts w:cstheme="minorHAnsi"/>
          <w:lang w:val="sl-SI"/>
        </w:rPr>
      </w:pPr>
    </w:p>
    <w:p w14:paraId="0D2EC44B" w14:textId="77777777" w:rsidR="00FE2EEC" w:rsidRPr="003A01F0" w:rsidRDefault="00FE2EEC" w:rsidP="00FE2EEC">
      <w:pPr>
        <w:spacing w:after="0"/>
        <w:jc w:val="both"/>
        <w:rPr>
          <w:rFonts w:cstheme="minorHAnsi"/>
          <w:lang w:val="sl-SI"/>
        </w:rPr>
      </w:pPr>
      <w:r w:rsidRPr="003A01F0">
        <w:rPr>
          <w:rFonts w:cstheme="minorHAnsi"/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89573" wp14:editId="061A125B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756745" cy="874643"/>
                <wp:effectExtent l="0" t="0" r="15875" b="2095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745" cy="874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6B66A" w14:textId="76905AD2" w:rsidR="00FE2EEC" w:rsidRDefault="00FE2EEC" w:rsidP="00FE2EEC">
                            <w:p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r w:rsidRPr="00B13B57">
                              <w:rPr>
                                <w:rFonts w:cstheme="minorHAnsi"/>
                              </w:rPr>
                              <w:t>Dovoljenje za uporabo v hmelju ima tudi a.s. milbemektin, ki jo vsebujeta pripravka Milbeknock in Koromite. Opoz</w:t>
                            </w:r>
                            <w:r w:rsidR="00F30345">
                              <w:rPr>
                                <w:rFonts w:cstheme="minorHAnsi"/>
                              </w:rPr>
                              <w:t>arjamo</w:t>
                            </w:r>
                            <w:r w:rsidRPr="00B13B57">
                              <w:rPr>
                                <w:rFonts w:cstheme="minorHAnsi"/>
                              </w:rPr>
                              <w:t xml:space="preserve"> vas, da a.s. milbemektin še vedno nima znanih izvoznih toleranc za Ameriko, zato je njuna uporaba omejena. </w:t>
                            </w:r>
                            <w:r w:rsidRPr="00B13B57">
                              <w:rPr>
                                <w:rFonts w:cstheme="minorHAnsi"/>
                                <w:b/>
                              </w:rPr>
                              <w:t>Pred uporabo akaricida Milbeknock ali Koromite se morate obvezno posv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etovati s svojim kupcem hmelja!</w:t>
                            </w:r>
                          </w:p>
                          <w:p w14:paraId="7590BD46" w14:textId="77777777" w:rsidR="00FE2EEC" w:rsidRDefault="00FE2EEC" w:rsidP="00FE2EEC">
                            <w:p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4CBA0C2F" w14:textId="77777777" w:rsidR="00FE2EEC" w:rsidRDefault="00FE2EEC" w:rsidP="00FE2EEC">
                            <w:p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18723454" w14:textId="77777777" w:rsidR="00FE2EEC" w:rsidRDefault="00FE2EEC" w:rsidP="00FE2EE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8957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7.25pt;width:453.3pt;height:68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">
                <v:textbox>
                  <w:txbxContent>
                    <w:p w14:paraId="2D06B66A" w14:textId="76905AD2" w:rsidR="00FE2EEC" w:rsidRDefault="00FE2EEC" w:rsidP="00FE2EEC">
                      <w:pPr>
                        <w:jc w:val="both"/>
                        <w:rPr>
                          <w:rFonts w:cstheme="minorHAnsi"/>
                          <w:b/>
                        </w:rPr>
                      </w:pPr>
                      <w:r w:rsidRPr="00B13B57">
                        <w:rPr>
                          <w:rFonts w:cstheme="minorHAnsi"/>
                        </w:rPr>
                        <w:t>Dovoljenje za uporabo v hmelju ima tudi a.s. milbemektin, ki jo vsebujeta pripravka Milbeknock in Koromite. Opoz</w:t>
                      </w:r>
                      <w:r w:rsidR="00F30345">
                        <w:rPr>
                          <w:rFonts w:cstheme="minorHAnsi"/>
                        </w:rPr>
                        <w:t>arjamo</w:t>
                      </w:r>
                      <w:r w:rsidRPr="00B13B57">
                        <w:rPr>
                          <w:rFonts w:cstheme="minorHAnsi"/>
                        </w:rPr>
                        <w:t xml:space="preserve"> vas, da a.s. milbemektin še vedno nima znanih izvoznih toleranc za Ameriko, zato je njuna uporaba omejena. </w:t>
                      </w:r>
                      <w:r w:rsidRPr="00B13B57">
                        <w:rPr>
                          <w:rFonts w:cstheme="minorHAnsi"/>
                          <w:b/>
                        </w:rPr>
                        <w:t>Pred uporabo akaricida Milbeknock ali Koromite se morate obvezno posv</w:t>
                      </w:r>
                      <w:r>
                        <w:rPr>
                          <w:rFonts w:cstheme="minorHAnsi"/>
                          <w:b/>
                        </w:rPr>
                        <w:t>etovati s svojim kupcem hmelja!</w:t>
                      </w:r>
                    </w:p>
                    <w:p w14:paraId="7590BD46" w14:textId="77777777" w:rsidR="00FE2EEC" w:rsidRDefault="00FE2EEC" w:rsidP="00FE2EEC">
                      <w:pPr>
                        <w:jc w:val="both"/>
                        <w:rPr>
                          <w:rFonts w:cstheme="minorHAnsi"/>
                          <w:b/>
                        </w:rPr>
                      </w:pPr>
                    </w:p>
                    <w:p w14:paraId="4CBA0C2F" w14:textId="77777777" w:rsidR="00FE2EEC" w:rsidRDefault="00FE2EEC" w:rsidP="00FE2EEC">
                      <w:pPr>
                        <w:jc w:val="both"/>
                        <w:rPr>
                          <w:rFonts w:cstheme="minorHAnsi"/>
                          <w:b/>
                        </w:rPr>
                      </w:pPr>
                    </w:p>
                    <w:p w14:paraId="18723454" w14:textId="77777777" w:rsidR="00FE2EEC" w:rsidRDefault="00FE2EEC" w:rsidP="00FE2EEC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D1C2E" w14:textId="77777777" w:rsidR="00FE2EEC" w:rsidRPr="003A01F0" w:rsidRDefault="00FE2EEC" w:rsidP="00FE2EEC">
      <w:pPr>
        <w:spacing w:after="0"/>
        <w:jc w:val="both"/>
        <w:rPr>
          <w:rFonts w:cstheme="minorHAnsi"/>
          <w:lang w:val="sl-SI"/>
        </w:rPr>
      </w:pPr>
    </w:p>
    <w:p w14:paraId="1B9EEDA0" w14:textId="77777777" w:rsidR="00FE2EEC" w:rsidRPr="003A01F0" w:rsidRDefault="00FE2EEC" w:rsidP="00FE2EEC">
      <w:pPr>
        <w:spacing w:after="0"/>
        <w:jc w:val="both"/>
        <w:rPr>
          <w:rFonts w:cstheme="minorHAnsi"/>
          <w:lang w:val="sl-SI"/>
        </w:rPr>
      </w:pPr>
    </w:p>
    <w:p w14:paraId="3B0ECF98" w14:textId="77777777" w:rsidR="00FE2EEC" w:rsidRPr="003A01F0" w:rsidRDefault="00FE2EEC" w:rsidP="00FE2EEC">
      <w:pPr>
        <w:spacing w:after="0"/>
        <w:jc w:val="both"/>
        <w:rPr>
          <w:rFonts w:cstheme="minorHAnsi"/>
          <w:lang w:val="sl-SI"/>
        </w:rPr>
      </w:pPr>
    </w:p>
    <w:p w14:paraId="423EC419" w14:textId="77777777" w:rsidR="00FE2EEC" w:rsidRPr="003A01F0" w:rsidRDefault="00FE2EEC" w:rsidP="00FE2EEC">
      <w:pPr>
        <w:pStyle w:val="Naslov3"/>
        <w:rPr>
          <w:lang w:val="sl-SI"/>
        </w:rPr>
      </w:pPr>
      <w:r w:rsidRPr="003A01F0">
        <w:rPr>
          <w:lang w:val="sl-SI"/>
        </w:rPr>
        <w:t>Koruzna vešča</w:t>
      </w:r>
    </w:p>
    <w:p w14:paraId="7CF5D0AA" w14:textId="77777777" w:rsidR="00FE2EEC" w:rsidRPr="003A01F0" w:rsidRDefault="00FE2EEC" w:rsidP="00FE2EEC">
      <w:pPr>
        <w:spacing w:after="0"/>
        <w:jc w:val="both"/>
        <w:rPr>
          <w:rFonts w:cstheme="minorHAnsi"/>
          <w:lang w:val="sl-SI"/>
        </w:rPr>
      </w:pPr>
      <w:r w:rsidRPr="003A01F0">
        <w:rPr>
          <w:rFonts w:cstheme="minorHAnsi"/>
          <w:lang w:val="sl-SI"/>
        </w:rPr>
        <w:t xml:space="preserve">Konec prve dekade julija se je pričel let 2. generacije koruzne vešče, ki je na lokaciji Roje pri Žalcu zelo številčna (20. julija smo ulovili 54 metuljev/noč!). Po vseh predvidevanjih in izračunih naj bi naslednji konec tedna že našli prve izlegle gosenice druge generacije. Številčnejši pojav gosenic predvidevamo v prvi dekadi avgusta. Potrebno je opozoriti, da imamo letos močnejši ulov kot lani v enakem obdobju (posledica vročinskega vala). </w:t>
      </w:r>
    </w:p>
    <w:p w14:paraId="7D5304F0" w14:textId="77777777" w:rsidR="00FE2EEC" w:rsidRPr="003A01F0" w:rsidRDefault="00FE2EEC" w:rsidP="00FE2EEC">
      <w:pPr>
        <w:spacing w:after="0"/>
        <w:jc w:val="both"/>
        <w:rPr>
          <w:rFonts w:cstheme="minorHAnsi"/>
          <w:lang w:val="sl-SI"/>
        </w:rPr>
      </w:pPr>
      <w:r w:rsidRPr="003A01F0">
        <w:rPr>
          <w:rFonts w:cstheme="minorHAnsi"/>
          <w:lang w:val="sl-SI"/>
        </w:rPr>
        <w:t>Trenutno za zatiranje gosenic koruzne vešče druge generacije, ki jih še nismo našli, ni potrebno uporabiti nobenega pripravka.</w:t>
      </w:r>
    </w:p>
    <w:p w14:paraId="74F15CB3" w14:textId="77777777" w:rsidR="00FE2EEC" w:rsidRPr="003A01F0" w:rsidRDefault="00FE2EEC" w:rsidP="00FE2EEC">
      <w:pPr>
        <w:spacing w:after="0"/>
        <w:jc w:val="both"/>
        <w:rPr>
          <w:rFonts w:cstheme="minorHAnsi"/>
          <w:lang w:val="sl-SI"/>
        </w:rPr>
      </w:pPr>
    </w:p>
    <w:p w14:paraId="6A7E466C" w14:textId="77777777" w:rsidR="00FE2EEC" w:rsidRPr="003A01F0" w:rsidRDefault="00FE2EEC" w:rsidP="00FE2EEC">
      <w:pPr>
        <w:spacing w:after="0"/>
        <w:jc w:val="both"/>
        <w:rPr>
          <w:rFonts w:cstheme="minorHAnsi"/>
          <w:lang w:val="sl-SI"/>
        </w:rPr>
      </w:pPr>
      <w:r w:rsidRPr="003A01F0">
        <w:rPr>
          <w:rFonts w:cstheme="minorHAnsi"/>
          <w:noProof/>
          <w:lang w:val="sl-SI"/>
        </w:rPr>
        <w:drawing>
          <wp:inline distT="0" distB="0" distL="0" distR="0" wp14:anchorId="313EDBAA" wp14:editId="537DE1D9">
            <wp:extent cx="5760720" cy="3865795"/>
            <wp:effectExtent l="0" t="0" r="11430" b="2095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125692" w14:textId="1AF91DE8" w:rsidR="00FE2EEC" w:rsidRPr="003A01F0" w:rsidRDefault="00A241BA" w:rsidP="00F30345">
      <w:pPr>
        <w:spacing w:after="0"/>
        <w:jc w:val="both"/>
        <w:rPr>
          <w:rFonts w:cstheme="minorHAnsi"/>
          <w:b/>
          <w:lang w:val="sl-SI"/>
        </w:rPr>
      </w:pPr>
      <w:r w:rsidRPr="003A01F0">
        <w:rPr>
          <w:rFonts w:cstheme="minorHAnsi"/>
          <w:b/>
          <w:lang w:val="sl-SI"/>
        </w:rPr>
        <w:t>Slika 2:</w:t>
      </w:r>
      <w:r w:rsidR="00FE2EEC" w:rsidRPr="003A01F0">
        <w:rPr>
          <w:rFonts w:cstheme="minorHAnsi"/>
          <w:b/>
          <w:lang w:val="sl-SI"/>
        </w:rPr>
        <w:t xml:space="preserve"> Let metuljev koruzne vešče na svetlobni vabi v Žalcu (zeleni stolpci) in Rojah pri Žalcu (rdeči stolpci) v letu 2021 v primerjavi na lokaciji Roje pri Žalcu v letu 2020 (modra krivulja)</w:t>
      </w:r>
    </w:p>
    <w:p w14:paraId="18900D1D" w14:textId="77777777" w:rsidR="00FE2EEC" w:rsidRPr="003A01F0" w:rsidRDefault="00FE2EEC" w:rsidP="00FE2EEC">
      <w:pPr>
        <w:pStyle w:val="Naslov3"/>
        <w:rPr>
          <w:lang w:val="sl-SI"/>
        </w:rPr>
      </w:pPr>
      <w:r w:rsidRPr="003A01F0">
        <w:rPr>
          <w:lang w:val="sl-SI"/>
        </w:rPr>
        <w:lastRenderedPageBreak/>
        <w:t xml:space="preserve">Hmeljev bolhač </w:t>
      </w:r>
    </w:p>
    <w:p w14:paraId="6953BE7D" w14:textId="77777777" w:rsidR="004A3C5A" w:rsidRPr="003A01F0" w:rsidRDefault="004A3C5A" w:rsidP="004A3C5A">
      <w:pPr>
        <w:jc w:val="both"/>
        <w:rPr>
          <w:rFonts w:cstheme="minorHAnsi"/>
          <w:lang w:val="sl-SI"/>
        </w:rPr>
      </w:pPr>
      <w:r w:rsidRPr="003A01F0">
        <w:rPr>
          <w:rFonts w:cstheme="minorHAnsi"/>
          <w:lang w:val="sl-SI"/>
        </w:rPr>
        <w:t xml:space="preserve">Začel se je pojavljati hrošček hmeljevega bolhača poletne generacije, ki ga večina najdemo na spodnjem delu rastlin, na listih in stranskih poganjkih. Na </w:t>
      </w:r>
      <w:proofErr w:type="spellStart"/>
      <w:r w:rsidRPr="003A01F0">
        <w:rPr>
          <w:rFonts w:cstheme="minorHAnsi"/>
          <w:lang w:val="sl-SI"/>
        </w:rPr>
        <w:t>Celei</w:t>
      </w:r>
      <w:proofErr w:type="spellEnd"/>
      <w:r w:rsidRPr="003A01F0">
        <w:rPr>
          <w:rFonts w:cstheme="minorHAnsi"/>
          <w:lang w:val="sl-SI"/>
        </w:rPr>
        <w:t xml:space="preserve"> in Savinjskem </w:t>
      </w:r>
      <w:proofErr w:type="spellStart"/>
      <w:r w:rsidRPr="003A01F0">
        <w:rPr>
          <w:rFonts w:cstheme="minorHAnsi"/>
          <w:lang w:val="sl-SI"/>
        </w:rPr>
        <w:t>goldingu</w:t>
      </w:r>
      <w:proofErr w:type="spellEnd"/>
      <w:r w:rsidRPr="003A01F0">
        <w:rPr>
          <w:rFonts w:cstheme="minorHAnsi"/>
          <w:lang w:val="sl-SI"/>
        </w:rPr>
        <w:t>, na teh dveh sortah ima večjo preferenco, ga je mogoče najti že na višini 1,5-2 metra. V tem trenutku zatiranje hmeljevega bolhača ni potrebno, ker bo njegova populacija naraščala in dosegla vrh nekje v prvi dekadi avgusta. Takrat bo po potrebi, v nasadih, kjer bo populacija presegla prag, uporabiti Karate 5 CS (</w:t>
      </w:r>
      <w:proofErr w:type="spellStart"/>
      <w:r w:rsidRPr="003A01F0">
        <w:rPr>
          <w:rFonts w:cstheme="minorHAnsi"/>
          <w:lang w:val="sl-SI"/>
        </w:rPr>
        <w:t>a.s</w:t>
      </w:r>
      <w:proofErr w:type="spellEnd"/>
      <w:r w:rsidRPr="003A01F0">
        <w:rPr>
          <w:rFonts w:cstheme="minorHAnsi"/>
          <w:lang w:val="sl-SI"/>
        </w:rPr>
        <w:t>. lambda-</w:t>
      </w:r>
      <w:proofErr w:type="spellStart"/>
      <w:r w:rsidRPr="003A01F0">
        <w:rPr>
          <w:rFonts w:cstheme="minorHAnsi"/>
          <w:lang w:val="sl-SI"/>
        </w:rPr>
        <w:t>cihalotrin</w:t>
      </w:r>
      <w:proofErr w:type="spellEnd"/>
      <w:r w:rsidRPr="003A01F0">
        <w:rPr>
          <w:rFonts w:cstheme="minorHAnsi"/>
          <w:lang w:val="sl-SI"/>
        </w:rPr>
        <w:t xml:space="preserve">), ki pa bo sočasno zadel tudi gosenice koruzne vešče. Je pa potrebno opozoriti, da ima </w:t>
      </w:r>
      <w:proofErr w:type="spellStart"/>
      <w:r w:rsidRPr="003A01F0">
        <w:rPr>
          <w:rFonts w:cstheme="minorHAnsi"/>
          <w:lang w:val="sl-SI"/>
        </w:rPr>
        <w:t>a.s</w:t>
      </w:r>
      <w:proofErr w:type="spellEnd"/>
      <w:r w:rsidRPr="003A01F0">
        <w:rPr>
          <w:rFonts w:cstheme="minorHAnsi"/>
          <w:lang w:val="sl-SI"/>
        </w:rPr>
        <w:t>. lambda-</w:t>
      </w:r>
      <w:proofErr w:type="spellStart"/>
      <w:r w:rsidRPr="003A01F0">
        <w:rPr>
          <w:rFonts w:cstheme="minorHAnsi"/>
          <w:lang w:val="sl-SI"/>
        </w:rPr>
        <w:t>cihalotrin</w:t>
      </w:r>
      <w:proofErr w:type="spellEnd"/>
      <w:r w:rsidRPr="003A01F0">
        <w:rPr>
          <w:rFonts w:cstheme="minorHAnsi"/>
          <w:lang w:val="sl-SI"/>
        </w:rPr>
        <w:t xml:space="preserve"> kratko delovanje. </w:t>
      </w:r>
    </w:p>
    <w:p w14:paraId="4CBFC103" w14:textId="77777777" w:rsidR="004A3C5A" w:rsidRPr="003A01F0" w:rsidRDefault="004A3C5A" w:rsidP="004A3C5A">
      <w:pPr>
        <w:jc w:val="both"/>
        <w:rPr>
          <w:rFonts w:cstheme="minorHAnsi"/>
          <w:lang w:val="sl-SI"/>
        </w:rPr>
      </w:pPr>
      <w:r w:rsidRPr="003A01F0">
        <w:rPr>
          <w:rFonts w:cstheme="minorHAnsi"/>
          <w:noProof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E1A8D" wp14:editId="125D4919">
                <wp:simplePos x="0" y="0"/>
                <wp:positionH relativeFrom="column">
                  <wp:posOffset>-1270</wp:posOffset>
                </wp:positionH>
                <wp:positionV relativeFrom="paragraph">
                  <wp:posOffset>10795</wp:posOffset>
                </wp:positionV>
                <wp:extent cx="5763895" cy="1403985"/>
                <wp:effectExtent l="0" t="0" r="27305" b="1714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6C8F9" w14:textId="77777777" w:rsidR="004A3C5A" w:rsidRPr="00003D86" w:rsidRDefault="004A3C5A" w:rsidP="004A3C5A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Naj vas opomnimo</w:t>
                            </w:r>
                            <w:r w:rsidRPr="00003D86">
                              <w:rPr>
                                <w:rFonts w:cs="Calibri"/>
                              </w:rPr>
                              <w:t xml:space="preserve">, da insekticida Lepinox plus in Agree, ki vsebujeta a.s. </w:t>
                            </w:r>
                            <w:r w:rsidRPr="00003D86">
                              <w:rPr>
                                <w:rFonts w:cs="Calibri"/>
                                <w:i/>
                              </w:rPr>
                              <w:t>Bacillus thuringhiensis</w:t>
                            </w:r>
                            <w:r w:rsidRPr="00003D86">
                              <w:rPr>
                                <w:rFonts w:cs="Calibri"/>
                              </w:rPr>
                              <w:t>, nimata delovanj</w:t>
                            </w:r>
                            <w:r>
                              <w:rPr>
                                <w:rFonts w:cs="Calibri"/>
                              </w:rPr>
                              <w:t>a</w:t>
                            </w:r>
                            <w:r w:rsidRPr="00003D86">
                              <w:rPr>
                                <w:rFonts w:cs="Calibri"/>
                              </w:rPr>
                              <w:t xml:space="preserve"> na hmeljevega bolhača, temveč sta želodčna in kontaktna insekticida za zatiranje gosenic, ki imata dovoljenje tudi v eko pridelavi.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4E1A8D" id="_x0000_s1027" type="#_x0000_t202" style="position:absolute;left:0;text-align:left;margin-left:-.1pt;margin-top:.85pt;width:453.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">
                <v:textbox style="mso-fit-shape-to-text:t">
                  <w:txbxContent>
                    <w:p w14:paraId="03D6C8F9" w14:textId="77777777" w:rsidR="004A3C5A" w:rsidRPr="00003D86" w:rsidRDefault="004A3C5A" w:rsidP="004A3C5A">
                      <w:pPr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Naj vas opomnimo</w:t>
                      </w:r>
                      <w:r w:rsidRPr="00003D86">
                        <w:rPr>
                          <w:rFonts w:cs="Calibri"/>
                        </w:rPr>
                        <w:t xml:space="preserve">, da insekticida Lepinox plus in Agree, ki vsebujeta a.s. </w:t>
                      </w:r>
                      <w:r w:rsidRPr="00003D86">
                        <w:rPr>
                          <w:rFonts w:cs="Calibri"/>
                          <w:i/>
                        </w:rPr>
                        <w:t>Bacillus thuringhiensis</w:t>
                      </w:r>
                      <w:r w:rsidRPr="00003D86">
                        <w:rPr>
                          <w:rFonts w:cs="Calibri"/>
                        </w:rPr>
                        <w:t>, nimata delovanj</w:t>
                      </w:r>
                      <w:r>
                        <w:rPr>
                          <w:rFonts w:cs="Calibri"/>
                        </w:rPr>
                        <w:t>a</w:t>
                      </w:r>
                      <w:r w:rsidRPr="00003D86">
                        <w:rPr>
                          <w:rFonts w:cs="Calibri"/>
                        </w:rPr>
                        <w:t xml:space="preserve"> na hmeljevega bolhača, temveč sta želodčna in kontaktna insekticida za zatiranje gosenic, ki imata dovoljenje tudi v eko pridelavi.</w:t>
                      </w:r>
                    </w:p>
                  </w:txbxContent>
                </v:textbox>
              </v:shape>
            </w:pict>
          </mc:Fallback>
        </mc:AlternateContent>
      </w:r>
    </w:p>
    <w:p w14:paraId="735C76BD" w14:textId="77777777" w:rsidR="004A3C5A" w:rsidRPr="003A01F0" w:rsidRDefault="004A3C5A" w:rsidP="004A3C5A">
      <w:pPr>
        <w:jc w:val="both"/>
        <w:rPr>
          <w:rFonts w:cstheme="minorHAnsi"/>
          <w:lang w:val="sl-SI"/>
        </w:rPr>
      </w:pPr>
    </w:p>
    <w:p w14:paraId="3D442B05" w14:textId="77777777" w:rsidR="004A3C5A" w:rsidRPr="003A01F0" w:rsidRDefault="004A3C5A" w:rsidP="004A3C5A">
      <w:pPr>
        <w:jc w:val="both"/>
        <w:rPr>
          <w:rFonts w:cstheme="minorHAnsi"/>
          <w:lang w:val="sl-SI"/>
        </w:rPr>
      </w:pPr>
    </w:p>
    <w:p w14:paraId="7B332A1E" w14:textId="77777777" w:rsidR="00FE2EEC" w:rsidRPr="00FE2EEC" w:rsidRDefault="00FE2EEC" w:rsidP="00FE2EEC">
      <w:pPr>
        <w:rPr>
          <w:lang w:val="en-US"/>
        </w:rPr>
      </w:pPr>
    </w:p>
    <w:sectPr w:rsidR="00FE2EEC" w:rsidRPr="00FE2EEC" w:rsidSect="00B42E98">
      <w:headerReference w:type="default" r:id="rId16"/>
      <w:footerReference w:type="default" r:id="rId17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E96A" w14:textId="77777777" w:rsidR="00B27D77" w:rsidRDefault="00B27D77" w:rsidP="006A44C7">
      <w:pPr>
        <w:spacing w:before="0" w:after="0"/>
      </w:pPr>
      <w:r>
        <w:separator/>
      </w:r>
    </w:p>
  </w:endnote>
  <w:endnote w:type="continuationSeparator" w:id="0">
    <w:p w14:paraId="5A53861C" w14:textId="77777777" w:rsidR="00B27D77" w:rsidRDefault="00B27D77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C6CE" w14:textId="77777777" w:rsidR="00887232" w:rsidRPr="00484EC1" w:rsidRDefault="000018EC" w:rsidP="00484EC1">
    <w:pPr>
      <w:pStyle w:val="Noga"/>
    </w:pPr>
    <w:proofErr w:type="spellStart"/>
    <w:r>
      <w:t>Hmeljarske</w:t>
    </w:r>
    <w:proofErr w:type="spellEnd"/>
    <w:r>
      <w:t xml:space="preserve"> </w:t>
    </w:r>
    <w:proofErr w:type="spellStart"/>
    <w:r>
      <w:t>informacije</w:t>
    </w:r>
    <w:proofErr w:type="spellEnd"/>
    <w:r w:rsidR="00887232" w:rsidRPr="00484EC1">
      <w:t xml:space="preserve">, </w:t>
    </w:r>
    <w:r>
      <w:t>38</w:t>
    </w:r>
    <w:r w:rsidR="00887232" w:rsidRPr="00484EC1">
      <w:t xml:space="preserve"> (2021) </w:t>
    </w:r>
    <w:r w:rsidR="00A241BA">
      <w:t>9</w:t>
    </w:r>
    <w:r w:rsidR="00887232"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3C33DB">
      <w:rPr>
        <w:noProof/>
      </w:rPr>
      <w:t>4</w:t>
    </w:r>
    <w:r w:rsidR="00484EC1" w:rsidRPr="00484EC1">
      <w:fldChar w:fldCharType="end"/>
    </w:r>
    <w:r w:rsidR="00484EC1" w:rsidRPr="00484EC1">
      <w:t>/</w:t>
    </w:r>
    <w:r w:rsidR="00A05224">
      <w:rPr>
        <w:noProof/>
      </w:rPr>
      <w:fldChar w:fldCharType="begin"/>
    </w:r>
    <w:r w:rsidR="00A05224">
      <w:rPr>
        <w:noProof/>
      </w:rPr>
      <w:instrText xml:space="preserve"> NUMPAGES  \* Arabic  \* MERGEFORMAT </w:instrText>
    </w:r>
    <w:r w:rsidR="00A05224">
      <w:rPr>
        <w:noProof/>
      </w:rPr>
      <w:fldChar w:fldCharType="separate"/>
    </w:r>
    <w:r w:rsidR="003C33DB">
      <w:rPr>
        <w:noProof/>
      </w:rPr>
      <w:t>4</w:t>
    </w:r>
    <w:r w:rsidR="00A052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8AF4" w14:textId="77777777" w:rsidR="00B27D77" w:rsidRDefault="00B27D77" w:rsidP="006A44C7">
      <w:pPr>
        <w:spacing w:before="0" w:after="0"/>
      </w:pPr>
      <w:r>
        <w:separator/>
      </w:r>
    </w:p>
  </w:footnote>
  <w:footnote w:type="continuationSeparator" w:id="0">
    <w:p w14:paraId="17320AA8" w14:textId="77777777" w:rsidR="00B27D77" w:rsidRDefault="00B27D77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D294" w14:textId="77777777" w:rsidR="006A44C7" w:rsidRPr="00C5388D" w:rsidRDefault="00BB63A1" w:rsidP="006A44C7">
    <w:pPr>
      <w:pStyle w:val="Naslov1"/>
      <w:numPr>
        <w:ilvl w:val="0"/>
        <w:numId w:val="0"/>
      </w:numPr>
      <w:rPr>
        <w:lang w:val="sl-SI"/>
      </w:rPr>
    </w:pPr>
    <w:r>
      <w:rPr>
        <w:lang w:val="sl-SI"/>
      </w:rPr>
      <w:t>Hmeljarske informacije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60E0F474"/>
    <w:lvl w:ilvl="0">
      <w:start w:val="1"/>
      <w:numFmt w:val="none"/>
      <w:pStyle w:val="Naslov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slov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  <w:lvlOverride w:ilvl="0">
      <w:lvl w:ilvl="0">
        <w:start w:val="1"/>
        <w:numFmt w:val="none"/>
        <w:pStyle w:val="Naslov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slov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slov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slov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slov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slov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slov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18EC"/>
    <w:rsid w:val="00131E83"/>
    <w:rsid w:val="0013211D"/>
    <w:rsid w:val="001444BE"/>
    <w:rsid w:val="0014463D"/>
    <w:rsid w:val="001B17B0"/>
    <w:rsid w:val="001B6FD8"/>
    <w:rsid w:val="00214DD1"/>
    <w:rsid w:val="0021654A"/>
    <w:rsid w:val="002352EA"/>
    <w:rsid w:val="00284384"/>
    <w:rsid w:val="00292355"/>
    <w:rsid w:val="0029651D"/>
    <w:rsid w:val="002A7E48"/>
    <w:rsid w:val="002F27E6"/>
    <w:rsid w:val="002F78F2"/>
    <w:rsid w:val="003627C6"/>
    <w:rsid w:val="003A01F0"/>
    <w:rsid w:val="003C33DB"/>
    <w:rsid w:val="003F1717"/>
    <w:rsid w:val="0042135D"/>
    <w:rsid w:val="004346C6"/>
    <w:rsid w:val="004548E0"/>
    <w:rsid w:val="0045527A"/>
    <w:rsid w:val="00484EC1"/>
    <w:rsid w:val="00494A4B"/>
    <w:rsid w:val="004A3C5A"/>
    <w:rsid w:val="004F4B8E"/>
    <w:rsid w:val="00514C90"/>
    <w:rsid w:val="00515238"/>
    <w:rsid w:val="0054066A"/>
    <w:rsid w:val="00550A98"/>
    <w:rsid w:val="00557962"/>
    <w:rsid w:val="005C3957"/>
    <w:rsid w:val="005D4D46"/>
    <w:rsid w:val="005E747C"/>
    <w:rsid w:val="00634292"/>
    <w:rsid w:val="00635341"/>
    <w:rsid w:val="0065138B"/>
    <w:rsid w:val="006825D3"/>
    <w:rsid w:val="00684A35"/>
    <w:rsid w:val="006A44C7"/>
    <w:rsid w:val="006E019A"/>
    <w:rsid w:val="006E78FB"/>
    <w:rsid w:val="00747598"/>
    <w:rsid w:val="007670FB"/>
    <w:rsid w:val="007A66BE"/>
    <w:rsid w:val="007B022C"/>
    <w:rsid w:val="008359EC"/>
    <w:rsid w:val="0084448C"/>
    <w:rsid w:val="00887232"/>
    <w:rsid w:val="00897A62"/>
    <w:rsid w:val="008B00DA"/>
    <w:rsid w:val="008B3693"/>
    <w:rsid w:val="008B5110"/>
    <w:rsid w:val="008C6595"/>
    <w:rsid w:val="008D3426"/>
    <w:rsid w:val="0091139C"/>
    <w:rsid w:val="00953728"/>
    <w:rsid w:val="009D3C1B"/>
    <w:rsid w:val="009E799D"/>
    <w:rsid w:val="00A05224"/>
    <w:rsid w:val="00A241BA"/>
    <w:rsid w:val="00A26A47"/>
    <w:rsid w:val="00A519F9"/>
    <w:rsid w:val="00A62C89"/>
    <w:rsid w:val="00A93E3C"/>
    <w:rsid w:val="00AA23F3"/>
    <w:rsid w:val="00AA6D8C"/>
    <w:rsid w:val="00B12DBF"/>
    <w:rsid w:val="00B27D77"/>
    <w:rsid w:val="00B363C4"/>
    <w:rsid w:val="00B42E98"/>
    <w:rsid w:val="00BB63A1"/>
    <w:rsid w:val="00C3124A"/>
    <w:rsid w:val="00C43A84"/>
    <w:rsid w:val="00C50984"/>
    <w:rsid w:val="00C5180A"/>
    <w:rsid w:val="00C5388D"/>
    <w:rsid w:val="00C64464"/>
    <w:rsid w:val="00C64CB8"/>
    <w:rsid w:val="00C812B3"/>
    <w:rsid w:val="00C8662E"/>
    <w:rsid w:val="00CA3556"/>
    <w:rsid w:val="00CD252C"/>
    <w:rsid w:val="00CD3149"/>
    <w:rsid w:val="00CF224D"/>
    <w:rsid w:val="00D4111F"/>
    <w:rsid w:val="00DA356B"/>
    <w:rsid w:val="00DD2990"/>
    <w:rsid w:val="00DE0198"/>
    <w:rsid w:val="00DE4761"/>
    <w:rsid w:val="00E230F2"/>
    <w:rsid w:val="00E4294B"/>
    <w:rsid w:val="00E45516"/>
    <w:rsid w:val="00E46031"/>
    <w:rsid w:val="00E81FF7"/>
    <w:rsid w:val="00EC452E"/>
    <w:rsid w:val="00EE47B9"/>
    <w:rsid w:val="00F16373"/>
    <w:rsid w:val="00F30345"/>
    <w:rsid w:val="00F34757"/>
    <w:rsid w:val="00F80C80"/>
    <w:rsid w:val="00FA6B45"/>
    <w:rsid w:val="00FB7897"/>
    <w:rsid w:val="00F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A7BD1"/>
  <w15:chartTrackingRefBased/>
  <w15:docId w15:val="{26A6C0CF-609A-4C47-855E-6CC2E3E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Naslov1">
    <w:name w:val="heading 1"/>
    <w:aliases w:val="OBVESTILO"/>
    <w:basedOn w:val="Navaden"/>
    <w:next w:val="Navaden"/>
    <w:link w:val="Naslov1Znak"/>
    <w:qFormat/>
    <w:rsid w:val="00DE0198"/>
    <w:pPr>
      <w:keepNext/>
      <w:keepLines/>
      <w:numPr>
        <w:numId w:val="1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538135" w:themeColor="accent6" w:themeShade="BF"/>
      <w:sz w:val="36"/>
      <w:szCs w:val="32"/>
      <w:lang w:val="en-US"/>
    </w:rPr>
  </w:style>
  <w:style w:type="paragraph" w:styleId="Naslov2">
    <w:name w:val="heading 2"/>
    <w:aliases w:val="OBVESTILO 1"/>
    <w:basedOn w:val="Navaden"/>
    <w:next w:val="Navaden"/>
    <w:link w:val="Naslov2Znak"/>
    <w:unhideWhenUsed/>
    <w:qFormat/>
    <w:rsid w:val="00F34757"/>
    <w:pPr>
      <w:keepNext/>
      <w:keepLines/>
      <w:shd w:val="clear" w:color="auto" w:fill="E2EFD9" w:themeFill="accent6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Naslov3">
    <w:name w:val="heading 3"/>
    <w:aliases w:val="OBVESTILO 2"/>
    <w:basedOn w:val="Navaden"/>
    <w:next w:val="Navaden"/>
    <w:link w:val="Naslov3Znak"/>
    <w:unhideWhenUsed/>
    <w:qFormat/>
    <w:rsid w:val="001B6FD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Naslov4">
    <w:name w:val="heading 4"/>
    <w:aliases w:val="OBVESTILO 3"/>
    <w:basedOn w:val="Navaden"/>
    <w:next w:val="Navaden"/>
    <w:link w:val="Naslov4Znak"/>
    <w:unhideWhenUsed/>
    <w:qFormat/>
    <w:rsid w:val="001B6FD8"/>
    <w:pPr>
      <w:keepNext/>
      <w:keepLines/>
      <w:numPr>
        <w:ilvl w:val="3"/>
        <w:numId w:val="1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Naslov5">
    <w:name w:val="heading 5"/>
    <w:aliases w:val="OBVESTILO 4"/>
    <w:basedOn w:val="Navaden"/>
    <w:next w:val="Navaden"/>
    <w:link w:val="Naslov5Znak"/>
    <w:unhideWhenUsed/>
    <w:qFormat/>
    <w:rsid w:val="00DE4761"/>
    <w:pPr>
      <w:keepNext/>
      <w:keepLines/>
      <w:numPr>
        <w:ilvl w:val="4"/>
        <w:numId w:val="1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DE4761"/>
    <w:pPr>
      <w:keepNext/>
      <w:keepLines/>
      <w:numPr>
        <w:ilvl w:val="5"/>
        <w:numId w:val="1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DE476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DE476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Naslov1Znak">
    <w:name w:val="Naslov 1 Znak"/>
    <w:aliases w:val="OBVESTILO Znak"/>
    <w:basedOn w:val="Privzetapisavaodstavka"/>
    <w:link w:val="Naslov1"/>
    <w:rsid w:val="00DE0198"/>
    <w:rPr>
      <w:rFonts w:ascii="Calibri" w:eastAsiaTheme="majorEastAsia" w:hAnsi="Calibri" w:cstheme="majorBidi"/>
      <w:b/>
      <w:color w:val="538135" w:themeColor="accent6" w:themeShade="BF"/>
      <w:sz w:val="36"/>
      <w:szCs w:val="32"/>
      <w:lang w:val="en-US"/>
    </w:rPr>
  </w:style>
  <w:style w:type="character" w:customStyle="1" w:styleId="Naslov2Znak">
    <w:name w:val="Naslov 2 Znak"/>
    <w:aliases w:val="OBVESTILO 1 Znak"/>
    <w:basedOn w:val="Privzetapisavaodstavka"/>
    <w:link w:val="Naslov2"/>
    <w:rsid w:val="00C43A84"/>
    <w:rPr>
      <w:rFonts w:ascii="Calibri" w:eastAsiaTheme="majorEastAsia" w:hAnsi="Calibri" w:cstheme="majorBidi"/>
      <w:b/>
      <w:sz w:val="24"/>
      <w:szCs w:val="26"/>
      <w:shd w:val="clear" w:color="auto" w:fill="E2EFD9" w:themeFill="accent6" w:themeFillTint="33"/>
      <w:lang w:val="en-US"/>
    </w:rPr>
  </w:style>
  <w:style w:type="character" w:customStyle="1" w:styleId="Naslov3Znak">
    <w:name w:val="Naslov 3 Znak"/>
    <w:aliases w:val="OBVESTILO 2 Znak"/>
    <w:basedOn w:val="Privzetapisavaodstavka"/>
    <w:link w:val="Naslov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Naslov4Znak">
    <w:name w:val="Naslov 4 Znak"/>
    <w:aliases w:val="OBVESTILO 3 Znak"/>
    <w:basedOn w:val="Privzetapisavaodstavka"/>
    <w:link w:val="Naslov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Naslov5Znak">
    <w:name w:val="Naslov 5 Znak"/>
    <w:aliases w:val="OBVESTILO 4 Znak"/>
    <w:basedOn w:val="Privzetapisavaodstavka"/>
    <w:link w:val="Naslov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Naslov6Znak">
    <w:name w:val="Naslov 6 Znak"/>
    <w:aliases w:val="OBVESTILO 5 Znak"/>
    <w:basedOn w:val="Privzetapisavaodstavka"/>
    <w:link w:val="Naslov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Naslov7Znak">
    <w:name w:val="Naslov 7 Znak"/>
    <w:aliases w:val="OBVESTILO 6 Znak"/>
    <w:basedOn w:val="Privzetapisavaodstavka"/>
    <w:link w:val="Naslov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Naslov8Znak">
    <w:name w:val="Naslov 8 Znak"/>
    <w:aliases w:val="OBVESTILO 7 Znak"/>
    <w:basedOn w:val="Privzetapisavaodstavka"/>
    <w:link w:val="Naslov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iperpovezava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avaden"/>
    <w:qFormat/>
    <w:rsid w:val="00214DD1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avaden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elapreprosta1">
    <w:name w:val="Table Simple 1"/>
    <w:basedOn w:val="Navadnatabela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Glava">
    <w:name w:val="header"/>
    <w:basedOn w:val="Navaden"/>
    <w:link w:val="GlavaZnak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44C7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7670FB"/>
    <w:rPr>
      <w:rFonts w:ascii="Calibri" w:hAnsi="Calibri"/>
    </w:rPr>
  </w:style>
  <w:style w:type="paragraph" w:styleId="Napis">
    <w:name w:val="caption"/>
    <w:basedOn w:val="Navaden"/>
    <w:next w:val="Navaden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Napis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elamrea">
    <w:name w:val="Table Grid"/>
    <w:basedOn w:val="Navadnatabela"/>
    <w:uiPriority w:val="59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5">
    <w:name w:val="Grid Table 1 Light Accent 5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1">
    <w:name w:val="Grid Table 1 Light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avaden"/>
    <w:qFormat/>
    <w:rsid w:val="007A66BE"/>
    <w:pPr>
      <w:spacing w:before="60" w:after="60"/>
    </w:pPr>
    <w:rPr>
      <w:b/>
    </w:rPr>
  </w:style>
  <w:style w:type="paragraph" w:customStyle="1" w:styleId="Default">
    <w:name w:val="Default"/>
    <w:rsid w:val="0045527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sl-SI" w:eastAsia="sl-SI"/>
    </w:rPr>
  </w:style>
  <w:style w:type="paragraph" w:styleId="Navadensplet">
    <w:name w:val="Normal (Web)"/>
    <w:basedOn w:val="Navaden"/>
    <w:unhideWhenUsed/>
    <w:rsid w:val="00F163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OBVESTILOOkvir">
    <w:name w:val="OBVESTILO Okvir"/>
    <w:basedOn w:val="Navaden"/>
    <w:qFormat/>
    <w:rsid w:val="007A66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egor.leskosek@ihps.si" TargetMode="External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umulus1\OVR\PROGNOZA\HMELJARSTVO\Koruzna%20ve&#353;&#269;a\Koruzna%20ve&#353;&#269;a_99-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'graf Žalec-Roje 2021'!$R$1</c:f>
              <c:strCache>
                <c:ptCount val="1"/>
                <c:pt idx="0">
                  <c:v>Žalec-IHPS, 2021</c:v>
                </c:pt>
              </c:strCache>
            </c:strRef>
          </c:tx>
          <c:spPr>
            <a:solidFill>
              <a:srgbClr val="00B050"/>
            </a:solidFill>
            <a:ln cap="flat" cmpd="sng">
              <a:noFill/>
              <a:prstDash val="sysDash"/>
            </a:ln>
          </c:spPr>
          <c:invertIfNegative val="0"/>
          <c:cat>
            <c:numRef>
              <c:f>'graf Žalec-Roje 2021'!$B$56:$B$81</c:f>
              <c:numCache>
                <c:formatCode>General</c:formatCode>
                <c:ptCount val="26"/>
                <c:pt idx="0">
                  <c:v>25</c:v>
                </c:pt>
                <c:pt idx="1">
                  <c:v>26</c:v>
                </c:pt>
                <c:pt idx="2">
                  <c:v>27</c:v>
                </c:pt>
                <c:pt idx="3">
                  <c:v>28</c:v>
                </c:pt>
                <c:pt idx="4">
                  <c:v>29</c:v>
                </c:pt>
                <c:pt idx="5">
                  <c:v>30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</c:v>
                </c:pt>
                <c:pt idx="17">
                  <c:v>12</c:v>
                </c:pt>
                <c:pt idx="18">
                  <c:v>13</c:v>
                </c:pt>
                <c:pt idx="19">
                  <c:v>14</c:v>
                </c:pt>
                <c:pt idx="20">
                  <c:v>15</c:v>
                </c:pt>
                <c:pt idx="21">
                  <c:v>16</c:v>
                </c:pt>
                <c:pt idx="22">
                  <c:v>17</c:v>
                </c:pt>
                <c:pt idx="23">
                  <c:v>18</c:v>
                </c:pt>
                <c:pt idx="24">
                  <c:v>19</c:v>
                </c:pt>
                <c:pt idx="25">
                  <c:v>20</c:v>
                </c:pt>
              </c:numCache>
            </c:numRef>
          </c:cat>
          <c:val>
            <c:numRef>
              <c:f>'graf Žalec-Roje 2021'!$R$56:$R$81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23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72-41B4-891A-716F1D7EE3EA}"/>
            </c:ext>
          </c:extLst>
        </c:ser>
        <c:ser>
          <c:idx val="2"/>
          <c:order val="2"/>
          <c:tx>
            <c:strRef>
              <c:f>'graf Žalec-Roje 2021'!$S$1</c:f>
              <c:strCache>
                <c:ptCount val="1"/>
                <c:pt idx="0">
                  <c:v>Roje, 2021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'graf Žalec-Roje 2021'!$B$56:$B$81</c:f>
              <c:numCache>
                <c:formatCode>General</c:formatCode>
                <c:ptCount val="26"/>
                <c:pt idx="0">
                  <c:v>25</c:v>
                </c:pt>
                <c:pt idx="1">
                  <c:v>26</c:v>
                </c:pt>
                <c:pt idx="2">
                  <c:v>27</c:v>
                </c:pt>
                <c:pt idx="3">
                  <c:v>28</c:v>
                </c:pt>
                <c:pt idx="4">
                  <c:v>29</c:v>
                </c:pt>
                <c:pt idx="5">
                  <c:v>30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</c:v>
                </c:pt>
                <c:pt idx="17">
                  <c:v>12</c:v>
                </c:pt>
                <c:pt idx="18">
                  <c:v>13</c:v>
                </c:pt>
                <c:pt idx="19">
                  <c:v>14</c:v>
                </c:pt>
                <c:pt idx="20">
                  <c:v>15</c:v>
                </c:pt>
                <c:pt idx="21">
                  <c:v>16</c:v>
                </c:pt>
                <c:pt idx="22">
                  <c:v>17</c:v>
                </c:pt>
                <c:pt idx="23">
                  <c:v>18</c:v>
                </c:pt>
                <c:pt idx="24">
                  <c:v>19</c:v>
                </c:pt>
                <c:pt idx="25">
                  <c:v>20</c:v>
                </c:pt>
              </c:numCache>
            </c:numRef>
          </c:cat>
          <c:val>
            <c:numRef>
              <c:f>'graf Žalec-Roje 2021'!$S$56:$S$81</c:f>
              <c:numCache>
                <c:formatCode>General</c:formatCode>
                <c:ptCount val="26"/>
                <c:pt idx="0">
                  <c:v>3</c:v>
                </c:pt>
                <c:pt idx="1">
                  <c:v>2</c:v>
                </c:pt>
                <c:pt idx="2">
                  <c:v>6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5</c:v>
                </c:pt>
                <c:pt idx="14">
                  <c:v>11</c:v>
                </c:pt>
                <c:pt idx="15">
                  <c:v>10</c:v>
                </c:pt>
                <c:pt idx="16">
                  <c:v>19</c:v>
                </c:pt>
                <c:pt idx="17">
                  <c:v>14</c:v>
                </c:pt>
                <c:pt idx="18">
                  <c:v>18</c:v>
                </c:pt>
                <c:pt idx="19">
                  <c:v>20</c:v>
                </c:pt>
                <c:pt idx="20">
                  <c:v>2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42</c:v>
                </c:pt>
                <c:pt idx="25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72-41B4-891A-716F1D7EE3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911744"/>
        <c:axId val="206926592"/>
      </c:barChart>
      <c:lineChart>
        <c:grouping val="standard"/>
        <c:varyColors val="0"/>
        <c:ser>
          <c:idx val="0"/>
          <c:order val="0"/>
          <c:tx>
            <c:strRef>
              <c:f>'graf Žalec-Roje 2021'!$Q$1</c:f>
              <c:strCache>
                <c:ptCount val="1"/>
                <c:pt idx="0">
                  <c:v>Roje, 2020</c:v>
                </c:pt>
              </c:strCache>
            </c:strRef>
          </c:tx>
          <c:spPr>
            <a:ln w="22225">
              <a:solidFill>
                <a:srgbClr val="0070C0"/>
              </a:solidFill>
              <a:prstDash val="solid"/>
            </a:ln>
          </c:spPr>
          <c:marker>
            <c:symbol val="none"/>
          </c:marker>
          <c:cat>
            <c:numRef>
              <c:f>'graf Žalec-Roje 2021'!$B$56:$B$81</c:f>
              <c:numCache>
                <c:formatCode>General</c:formatCode>
                <c:ptCount val="26"/>
                <c:pt idx="0">
                  <c:v>25</c:v>
                </c:pt>
                <c:pt idx="1">
                  <c:v>26</c:v>
                </c:pt>
                <c:pt idx="2">
                  <c:v>27</c:v>
                </c:pt>
                <c:pt idx="3">
                  <c:v>28</c:v>
                </c:pt>
                <c:pt idx="4">
                  <c:v>29</c:v>
                </c:pt>
                <c:pt idx="5">
                  <c:v>30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</c:v>
                </c:pt>
                <c:pt idx="13">
                  <c:v>8</c:v>
                </c:pt>
                <c:pt idx="14">
                  <c:v>9</c:v>
                </c:pt>
                <c:pt idx="15">
                  <c:v>10</c:v>
                </c:pt>
                <c:pt idx="16">
                  <c:v>11</c:v>
                </c:pt>
                <c:pt idx="17">
                  <c:v>12</c:v>
                </c:pt>
                <c:pt idx="18">
                  <c:v>13</c:v>
                </c:pt>
                <c:pt idx="19">
                  <c:v>14</c:v>
                </c:pt>
                <c:pt idx="20">
                  <c:v>15</c:v>
                </c:pt>
                <c:pt idx="21">
                  <c:v>16</c:v>
                </c:pt>
                <c:pt idx="22">
                  <c:v>17</c:v>
                </c:pt>
                <c:pt idx="23">
                  <c:v>18</c:v>
                </c:pt>
                <c:pt idx="24">
                  <c:v>19</c:v>
                </c:pt>
                <c:pt idx="25">
                  <c:v>20</c:v>
                </c:pt>
              </c:numCache>
            </c:numRef>
          </c:cat>
          <c:val>
            <c:numRef>
              <c:f>'graf Žalec-Roje 2021'!$Q$56:$Q$81</c:f>
              <c:numCache>
                <c:formatCode>General</c:formatCode>
                <c:ptCount val="26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  <c:pt idx="5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  <c:pt idx="14">
                  <c:v>3</c:v>
                </c:pt>
                <c:pt idx="15">
                  <c:v>1</c:v>
                </c:pt>
                <c:pt idx="16">
                  <c:v>2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10</c:v>
                </c:pt>
                <c:pt idx="21">
                  <c:v>6</c:v>
                </c:pt>
                <c:pt idx="22">
                  <c:v>7</c:v>
                </c:pt>
                <c:pt idx="23">
                  <c:v>9</c:v>
                </c:pt>
                <c:pt idx="24">
                  <c:v>22</c:v>
                </c:pt>
                <c:pt idx="25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972-41B4-891A-716F1D7EE3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911744"/>
        <c:axId val="206926592"/>
      </c:lineChart>
      <c:catAx>
        <c:axId val="2069117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 sz="1000" b="1" i="0" u="none" strike="noStrike" baseline="0">
                    <a:solidFill>
                      <a:srgbClr val="000000"/>
                    </a:solidFill>
                    <a:latin typeface="Calibri"/>
                    <a:cs typeface="Calibri"/>
                  </a:rPr>
                  <a:t>                                        junij                                                                            julij</a:t>
                </a:r>
              </a:p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 sz="1000" b="1" i="0" u="none" strike="noStrike" baseline="0">
                    <a:solidFill>
                      <a:srgbClr val="000000"/>
                    </a:solidFill>
                    <a:latin typeface="Calibri"/>
                    <a:cs typeface="Calibri"/>
                  </a:rPr>
                  <a:t>                                                 </a:t>
                </a:r>
              </a:p>
            </c:rich>
          </c:tx>
          <c:layout>
            <c:manualLayout>
              <c:xMode val="edge"/>
              <c:yMode val="edge"/>
              <c:x val="0.31763911863958183"/>
              <c:y val="0.8654372496818935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206926592"/>
        <c:crosses val="autoZero"/>
        <c:auto val="1"/>
        <c:lblAlgn val="ctr"/>
        <c:lblOffset val="100"/>
        <c:noMultiLvlLbl val="0"/>
      </c:catAx>
      <c:valAx>
        <c:axId val="20692659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Št. metuljev koruzne vešče/noč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2069117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7351507532146716"/>
          <c:y val="0.95005817474962317"/>
          <c:w val="0.4291694440972656"/>
          <c:h val="3.6649434920813739E-2"/>
        </c:manualLayout>
      </c:layout>
      <c:overlay val="0"/>
      <c:spPr>
        <a:ln>
          <a:solidFill>
            <a:schemeClr val="tx1"/>
          </a:solidFill>
        </a:ln>
      </c:spPr>
      <c:txPr>
        <a:bodyPr/>
        <a:lstStyle/>
        <a:p>
          <a:pPr>
            <a:defRPr sz="77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l-SI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E451B-7EF6-4C8F-A69F-63019153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Hmeljarske informacije</vt:lpstr>
      <vt:lpstr>Hmeljarske informacije</vt:lpstr>
    </vt:vector>
  </TitlesOfParts>
  <Company>Hewlett-Packard Company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Hmeljarske informacije</dc:title>
  <dc:subject/>
  <dc:creator>Jolanda Persolja</dc:creator>
  <cp:keywords/>
  <dc:description/>
  <cp:lastModifiedBy>Tajništvo IHPS</cp:lastModifiedBy>
  <cp:revision>8</cp:revision>
  <cp:lastPrinted>2021-07-22T11:31:00Z</cp:lastPrinted>
  <dcterms:created xsi:type="dcterms:W3CDTF">2021-07-22T11:25:00Z</dcterms:created>
  <dcterms:modified xsi:type="dcterms:W3CDTF">2021-07-22T11:31:00Z</dcterms:modified>
</cp:coreProperties>
</file>