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Simple1"/>
        <w:tblW w:w="0" w:type="auto"/>
        <w:tblBorders>
          <w:top w:val="none" w:sz="0" w:space="0" w:color="auto"/>
          <w:bottom w:val="none" w:sz="0" w:space="0" w:color="auto"/>
        </w:tblBorders>
        <w:tblLook w:val="06A0" w:firstRow="1" w:lastRow="0" w:firstColumn="1" w:lastColumn="0" w:noHBand="1" w:noVBand="1"/>
        <w:tblCaption w:val="Podatki o izdaji obvestila"/>
      </w:tblPr>
      <w:tblGrid>
        <w:gridCol w:w="1980"/>
        <w:gridCol w:w="5265"/>
        <w:gridCol w:w="1781"/>
      </w:tblGrid>
      <w:tr w:rsidR="00C5388D" w:rsidRPr="002A7E48" w:rsidTr="002B53E9">
        <w:trPr>
          <w:cnfStyle w:val="100000000000" w:firstRow="1" w:lastRow="0" w:firstColumn="0" w:lastColumn="0" w:oddVBand="0" w:evenVBand="0" w:oddHBand="0" w:evenHBand="0" w:firstRowFirstColumn="0" w:firstRowLastColumn="0" w:lastRowFirstColumn="0" w:lastRowLastColumn="0"/>
          <w:tblHeader/>
        </w:trPr>
        <w:tc>
          <w:tcPr>
            <w:tcW w:w="1985" w:type="dxa"/>
            <w:tcBorders>
              <w:bottom w:val="none" w:sz="0" w:space="0" w:color="auto"/>
            </w:tcBorders>
          </w:tcPr>
          <w:p w:rsidR="00C5388D" w:rsidRPr="002A7E48" w:rsidRDefault="00C5388D" w:rsidP="00152AA9">
            <w:pPr>
              <w:pStyle w:val="OBVESTILOIzdajaKrepko"/>
            </w:pPr>
            <w:r w:rsidRPr="002A7E48">
              <w:t>Podatki o publikaciji</w:t>
            </w:r>
          </w:p>
        </w:tc>
        <w:tc>
          <w:tcPr>
            <w:tcW w:w="5289" w:type="dxa"/>
            <w:tcBorders>
              <w:bottom w:val="none" w:sz="0" w:space="0" w:color="auto"/>
            </w:tcBorders>
          </w:tcPr>
          <w:p w:rsidR="00C5388D" w:rsidRPr="002A7E48" w:rsidRDefault="00C5388D" w:rsidP="00152AA9">
            <w:pPr>
              <w:pStyle w:val="OBVESTILOIzdajaKrepko"/>
            </w:pPr>
          </w:p>
        </w:tc>
        <w:tc>
          <w:tcPr>
            <w:tcW w:w="1752" w:type="dxa"/>
            <w:tcBorders>
              <w:bottom w:val="none" w:sz="0" w:space="0" w:color="auto"/>
            </w:tcBorders>
          </w:tcPr>
          <w:p w:rsidR="00C5388D" w:rsidRPr="002A7E48" w:rsidRDefault="00C5388D" w:rsidP="00152AA9">
            <w:pPr>
              <w:pStyle w:val="OBVESTILOIzdajaKrepko"/>
            </w:pPr>
          </w:p>
        </w:tc>
      </w:tr>
      <w:tr w:rsidR="00C5388D" w:rsidRPr="002A7E48" w:rsidTr="002B53E9">
        <w:tc>
          <w:tcPr>
            <w:tcW w:w="1985" w:type="dxa"/>
          </w:tcPr>
          <w:p w:rsidR="00C5388D" w:rsidRPr="002A7E48" w:rsidRDefault="00C5388D" w:rsidP="00152AA9">
            <w:pPr>
              <w:pStyle w:val="OBVESTILOIzdajaKrepko"/>
            </w:pPr>
            <w:r w:rsidRPr="002A7E48">
              <w:t>Izdaja:</w:t>
            </w:r>
          </w:p>
        </w:tc>
        <w:tc>
          <w:tcPr>
            <w:tcW w:w="5289" w:type="dxa"/>
          </w:tcPr>
          <w:p w:rsidR="00C5388D" w:rsidRPr="002A7E48" w:rsidRDefault="00C5388D" w:rsidP="00152AA9">
            <w:pPr>
              <w:pStyle w:val="OBVESTILOIzdaja"/>
            </w:pPr>
            <w:r w:rsidRPr="002A7E48">
              <w:t>Inštitut za hmeljarstvo i</w:t>
            </w:r>
            <w:r w:rsidR="006448FB">
              <w:t xml:space="preserve">n pivovarstvo Slovenije, </w:t>
            </w:r>
            <w:r w:rsidR="00D14170">
              <w:br w:type="textWrapping" w:clear="all"/>
            </w:r>
            <w:r w:rsidR="006448FB">
              <w:t>Cesta Ž</w:t>
            </w:r>
            <w:r w:rsidRPr="002A7E48">
              <w:t>alskega tabora 2, 3310</w:t>
            </w:r>
            <w:r w:rsidR="001B6FD8" w:rsidRPr="002A7E48">
              <w:t xml:space="preserve"> Žalec</w:t>
            </w:r>
          </w:p>
        </w:tc>
        <w:tc>
          <w:tcPr>
            <w:tcW w:w="1752" w:type="dxa"/>
            <w:vMerge w:val="restart"/>
          </w:tcPr>
          <w:p w:rsidR="00C5388D" w:rsidRPr="002A7E48" w:rsidRDefault="002B53E9" w:rsidP="00152AA9">
            <w:pPr>
              <w:pStyle w:val="OBVESTILOIzdaja"/>
            </w:pPr>
            <w:r>
              <w:rPr>
                <w:noProof/>
              </w:rPr>
              <w:drawing>
                <wp:inline distT="0" distB="0" distL="0" distR="0">
                  <wp:extent cx="993913" cy="910361"/>
                  <wp:effectExtent l="0" t="0" r="0" b="4445"/>
                  <wp:docPr id="1" name="Picture 1" descr="Ikona, ki se uporablja za obvestila sadjarj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V_Sadj_2021_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1045" cy="916894"/>
                          </a:xfrm>
                          <a:prstGeom prst="rect">
                            <a:avLst/>
                          </a:prstGeom>
                        </pic:spPr>
                      </pic:pic>
                    </a:graphicData>
                  </a:graphic>
                </wp:inline>
              </w:drawing>
            </w:r>
          </w:p>
        </w:tc>
      </w:tr>
      <w:tr w:rsidR="00C5388D" w:rsidRPr="002A7E48" w:rsidTr="002B53E9">
        <w:tc>
          <w:tcPr>
            <w:tcW w:w="1985" w:type="dxa"/>
          </w:tcPr>
          <w:p w:rsidR="00C5388D" w:rsidRPr="002A7E48" w:rsidRDefault="00C5388D" w:rsidP="00152AA9">
            <w:pPr>
              <w:pStyle w:val="OBVESTILOIzdajaKrepko"/>
            </w:pPr>
            <w:r w:rsidRPr="002A7E48">
              <w:t>Urednica:</w:t>
            </w:r>
          </w:p>
        </w:tc>
        <w:tc>
          <w:tcPr>
            <w:tcW w:w="5289" w:type="dxa"/>
          </w:tcPr>
          <w:p w:rsidR="00C5388D" w:rsidRPr="002A7E48" w:rsidRDefault="00C5388D" w:rsidP="00152AA9">
            <w:pPr>
              <w:pStyle w:val="OBVESTILOIzdaja"/>
            </w:pPr>
            <w:r w:rsidRPr="002A7E48">
              <w:t>Alenka Ferlež Rus</w:t>
            </w:r>
          </w:p>
        </w:tc>
        <w:tc>
          <w:tcPr>
            <w:tcW w:w="1752" w:type="dxa"/>
            <w:vMerge/>
          </w:tcPr>
          <w:p w:rsidR="00C5388D" w:rsidRPr="002A7E48" w:rsidRDefault="00C5388D" w:rsidP="00152AA9">
            <w:pPr>
              <w:pStyle w:val="OBVESTILOIzdaja"/>
            </w:pPr>
          </w:p>
        </w:tc>
      </w:tr>
      <w:tr w:rsidR="00C5388D" w:rsidRPr="002A7E48" w:rsidTr="002B53E9">
        <w:tc>
          <w:tcPr>
            <w:tcW w:w="1985" w:type="dxa"/>
          </w:tcPr>
          <w:p w:rsidR="00C5388D" w:rsidRPr="002A7E48" w:rsidRDefault="00C5388D" w:rsidP="00152AA9">
            <w:pPr>
              <w:pStyle w:val="OBVESTILOIzdajaKrepko"/>
            </w:pPr>
            <w:r w:rsidRPr="002A7E48">
              <w:t>E-pošta uredništva:</w:t>
            </w:r>
          </w:p>
        </w:tc>
        <w:tc>
          <w:tcPr>
            <w:tcW w:w="5289" w:type="dxa"/>
          </w:tcPr>
          <w:p w:rsidR="00C5388D" w:rsidRPr="002A7E48" w:rsidRDefault="008A33B8" w:rsidP="00152AA9">
            <w:pPr>
              <w:pStyle w:val="OBVESTILOIzdaja"/>
            </w:pPr>
            <w:hyperlink r:id="rId9" w:history="1">
              <w:r w:rsidR="00C5388D" w:rsidRPr="002A7E48">
                <w:rPr>
                  <w:rStyle w:val="Hyperlink"/>
                </w:rPr>
                <w:t>alenka.ferlez-rus@ihps.si</w:t>
              </w:r>
            </w:hyperlink>
            <w:r w:rsidR="00C5388D" w:rsidRPr="002A7E48">
              <w:t xml:space="preserve"> </w:t>
            </w:r>
          </w:p>
        </w:tc>
        <w:tc>
          <w:tcPr>
            <w:tcW w:w="1752" w:type="dxa"/>
            <w:vMerge/>
          </w:tcPr>
          <w:p w:rsidR="00C5388D" w:rsidRPr="002A7E48" w:rsidRDefault="00C5388D" w:rsidP="00152AA9">
            <w:pPr>
              <w:pStyle w:val="OBVESTILOIzdaja"/>
            </w:pPr>
          </w:p>
        </w:tc>
      </w:tr>
      <w:tr w:rsidR="00C5388D" w:rsidRPr="002A7E48" w:rsidTr="002B53E9">
        <w:tc>
          <w:tcPr>
            <w:tcW w:w="1985" w:type="dxa"/>
          </w:tcPr>
          <w:p w:rsidR="00C5388D" w:rsidRPr="002A7E48" w:rsidRDefault="00C5388D" w:rsidP="00152AA9">
            <w:pPr>
              <w:pStyle w:val="OBVESTILOIzdajaKrepko"/>
            </w:pPr>
            <w:r w:rsidRPr="002A7E48">
              <w:t>Uredniški odbor:</w:t>
            </w:r>
          </w:p>
        </w:tc>
        <w:tc>
          <w:tcPr>
            <w:tcW w:w="5289" w:type="dxa"/>
          </w:tcPr>
          <w:p w:rsidR="00C5388D" w:rsidRPr="002A7E48" w:rsidRDefault="003E7378" w:rsidP="00152AA9">
            <w:pPr>
              <w:pStyle w:val="OBVESTILOIzdaja"/>
            </w:pPr>
            <w:r w:rsidRPr="003E7378">
              <w:t>Alenka Ferlež Rus, dr. Magda Rak Cizej, dr. Sebastjan Radišek, Gregor Leskošek</w:t>
            </w:r>
          </w:p>
        </w:tc>
        <w:tc>
          <w:tcPr>
            <w:tcW w:w="1752" w:type="dxa"/>
            <w:vMerge/>
          </w:tcPr>
          <w:p w:rsidR="00C5388D" w:rsidRPr="002A7E48" w:rsidRDefault="00C5388D" w:rsidP="00152AA9">
            <w:pPr>
              <w:pStyle w:val="OBVESTILOIzdaja"/>
            </w:pPr>
          </w:p>
        </w:tc>
      </w:tr>
    </w:tbl>
    <w:p w:rsidR="00C5388D" w:rsidRPr="002A7E48" w:rsidRDefault="003E7378" w:rsidP="00D60D45">
      <w:pPr>
        <w:pStyle w:val="ISSN"/>
      </w:pPr>
      <w:r>
        <w:t>ISSN 2536-233X</w:t>
      </w:r>
      <w:r w:rsidR="00C5388D" w:rsidRPr="002A7E48">
        <w:t xml:space="preserve"> </w:t>
      </w:r>
      <w:r w:rsidR="00C5388D" w:rsidRPr="002A7E48">
        <w:rPr>
          <w:sz w:val="16"/>
          <w:szCs w:val="16"/>
        </w:rPr>
        <w:t xml:space="preserve">(za </w:t>
      </w:r>
      <w:r w:rsidR="00C5388D" w:rsidRPr="002B53E9">
        <w:rPr>
          <w:sz w:val="16"/>
          <w:szCs w:val="16"/>
        </w:rPr>
        <w:t>spletno izdajo</w:t>
      </w:r>
      <w:r w:rsidR="00C5388D" w:rsidRPr="002A7E48">
        <w:rPr>
          <w:sz w:val="16"/>
          <w:szCs w:val="16"/>
        </w:rPr>
        <w:t>)</w:t>
      </w:r>
      <w:r w:rsidR="00C5388D" w:rsidRPr="002A7E48">
        <w:t xml:space="preserve"> </w:t>
      </w:r>
      <w:r w:rsidR="00C5388D" w:rsidRPr="002A7E48">
        <w:tab/>
        <w:t xml:space="preserve">Letnik </w:t>
      </w:r>
      <w:r>
        <w:t>30</w:t>
      </w:r>
      <w:r w:rsidR="00C5388D" w:rsidRPr="002A7E48">
        <w:t xml:space="preserve">, št. </w:t>
      </w:r>
      <w:r w:rsidR="00C2692F">
        <w:t>18</w:t>
      </w:r>
      <w:r w:rsidR="0004271D">
        <w:tab/>
      </w:r>
      <w:r w:rsidR="0004271D">
        <w:tab/>
        <w:t>15</w:t>
      </w:r>
      <w:r w:rsidR="00C5388D" w:rsidRPr="002A7E48">
        <w:t xml:space="preserve">. </w:t>
      </w:r>
      <w:r w:rsidR="00C2692F">
        <w:t>julij</w:t>
      </w:r>
      <w:r w:rsidR="00C5388D" w:rsidRPr="002A7E48">
        <w:t xml:space="preserve"> 2021</w:t>
      </w:r>
    </w:p>
    <w:p w:rsidR="00C5388D" w:rsidRPr="0011245C" w:rsidRDefault="00DD24D3" w:rsidP="0011245C">
      <w:pPr>
        <w:pStyle w:val="Heading2"/>
      </w:pPr>
      <w:proofErr w:type="spellStart"/>
      <w:r w:rsidRPr="0011245C">
        <w:t>Fenološki</w:t>
      </w:r>
      <w:proofErr w:type="spellEnd"/>
      <w:r w:rsidRPr="0011245C">
        <w:t xml:space="preserve"> </w:t>
      </w:r>
      <w:proofErr w:type="spellStart"/>
      <w:r w:rsidR="00602F29" w:rsidRPr="0011245C">
        <w:t>razvoj</w:t>
      </w:r>
      <w:proofErr w:type="spellEnd"/>
    </w:p>
    <w:p w:rsidR="00602F29" w:rsidRDefault="00602F29" w:rsidP="0011245C">
      <w:pPr>
        <w:rPr>
          <w:lang w:val="en-US"/>
        </w:rPr>
      </w:pPr>
      <w:r w:rsidRPr="00B228E9">
        <w:rPr>
          <w:lang w:val="sl-SI"/>
        </w:rPr>
        <w:t>Na območju Celjske in Koroške regije so jablane</w:t>
      </w:r>
      <w:r w:rsidR="00C42F52">
        <w:rPr>
          <w:lang w:val="sl-SI"/>
        </w:rPr>
        <w:t xml:space="preserve"> in hruške</w:t>
      </w:r>
      <w:r w:rsidRPr="00B228E9">
        <w:rPr>
          <w:lang w:val="sl-SI"/>
        </w:rPr>
        <w:t xml:space="preserve"> povprečno na opazovane lokacije in so</w:t>
      </w:r>
      <w:r w:rsidR="00C2692F">
        <w:rPr>
          <w:lang w:val="sl-SI"/>
        </w:rPr>
        <w:t xml:space="preserve">rte v fenološki fazi </w:t>
      </w:r>
      <w:r w:rsidR="00C2692F" w:rsidRPr="0092605E">
        <w:rPr>
          <w:lang w:val="sl-SI"/>
        </w:rPr>
        <w:t>BBCH 76</w:t>
      </w:r>
      <w:r w:rsidRPr="0092605E">
        <w:rPr>
          <w:lang w:val="en-US"/>
        </w:rPr>
        <w:t>.</w:t>
      </w:r>
      <w:r w:rsidR="00C42F52">
        <w:rPr>
          <w:lang w:val="en-US"/>
        </w:rPr>
        <w:t xml:space="preserve"> </w:t>
      </w:r>
    </w:p>
    <w:p w:rsidR="00C967F8" w:rsidRPr="0011245C" w:rsidRDefault="00C967F8" w:rsidP="0011245C">
      <w:pPr>
        <w:pStyle w:val="Heading2"/>
      </w:pPr>
      <w:proofErr w:type="spellStart"/>
      <w:r w:rsidRPr="0011245C">
        <w:t>Jabolčni</w:t>
      </w:r>
      <w:proofErr w:type="spellEnd"/>
      <w:r w:rsidRPr="0011245C">
        <w:t xml:space="preserve"> </w:t>
      </w:r>
      <w:proofErr w:type="spellStart"/>
      <w:r w:rsidRPr="0011245C">
        <w:t>zavijač</w:t>
      </w:r>
      <w:proofErr w:type="spellEnd"/>
      <w:r w:rsidRPr="0011245C">
        <w:t xml:space="preserve">, </w:t>
      </w:r>
      <w:proofErr w:type="spellStart"/>
      <w:r w:rsidR="00A510BC" w:rsidRPr="0011245C">
        <w:t>rdeča</w:t>
      </w:r>
      <w:proofErr w:type="spellEnd"/>
      <w:r w:rsidR="00A510BC" w:rsidRPr="0011245C">
        <w:t xml:space="preserve"> </w:t>
      </w:r>
      <w:proofErr w:type="spellStart"/>
      <w:r w:rsidR="00A510BC" w:rsidRPr="0011245C">
        <w:t>sadna</w:t>
      </w:r>
      <w:proofErr w:type="spellEnd"/>
      <w:r w:rsidR="00A510BC" w:rsidRPr="0011245C">
        <w:t xml:space="preserve"> </w:t>
      </w:r>
      <w:proofErr w:type="spellStart"/>
      <w:r w:rsidR="00A510BC" w:rsidRPr="0011245C">
        <w:t>pršica</w:t>
      </w:r>
      <w:proofErr w:type="spellEnd"/>
      <w:r w:rsidR="00A510BC" w:rsidRPr="0011245C">
        <w:t xml:space="preserve">, </w:t>
      </w:r>
      <w:proofErr w:type="spellStart"/>
      <w:r w:rsidR="00883038" w:rsidRPr="0011245C">
        <w:t>listne</w:t>
      </w:r>
      <w:proofErr w:type="spellEnd"/>
      <w:r w:rsidRPr="0011245C">
        <w:t xml:space="preserve"> </w:t>
      </w:r>
      <w:proofErr w:type="spellStart"/>
      <w:r w:rsidRPr="0011245C">
        <w:t>uši</w:t>
      </w:r>
      <w:proofErr w:type="spellEnd"/>
      <w:r w:rsidRPr="0011245C">
        <w:t xml:space="preserve"> </w:t>
      </w:r>
    </w:p>
    <w:p w:rsidR="00271D19" w:rsidRPr="00C22D3C" w:rsidRDefault="00D87D23" w:rsidP="0011245C">
      <w:pPr>
        <w:rPr>
          <w:lang w:val="sl-SI" w:eastAsia="sl-SI"/>
        </w:rPr>
      </w:pPr>
      <w:r w:rsidRPr="00C22D3C">
        <w:rPr>
          <w:lang w:val="sl-SI" w:eastAsia="sl-SI"/>
        </w:rPr>
        <w:t xml:space="preserve">Na opazovanih sadjarskih lokacijah Celjske in Koroške regije so </w:t>
      </w:r>
      <w:r w:rsidR="006D7083" w:rsidRPr="00C22D3C">
        <w:rPr>
          <w:lang w:val="sl-SI" w:eastAsia="sl-SI"/>
        </w:rPr>
        <w:t xml:space="preserve">v začetku tedna </w:t>
      </w:r>
      <w:r w:rsidRPr="00C22D3C">
        <w:rPr>
          <w:lang w:val="sl-SI" w:eastAsia="sl-SI"/>
        </w:rPr>
        <w:t xml:space="preserve">ulovi metuljčkov jabolčnega zavijača na feromonskih vabah v ekstenzivnih - neškropljenih </w:t>
      </w:r>
      <w:r w:rsidR="009229F9">
        <w:rPr>
          <w:lang w:val="sl-SI" w:eastAsia="sl-SI"/>
        </w:rPr>
        <w:t>nasadih jablan začeli naraščati. Tudi</w:t>
      </w:r>
      <w:r w:rsidRPr="00C22D3C">
        <w:rPr>
          <w:lang w:val="sl-SI" w:eastAsia="sl-SI"/>
        </w:rPr>
        <w:t xml:space="preserve"> v intenzivnih nasadih, kjer sta bili opravljeni dve škro</w:t>
      </w:r>
      <w:r w:rsidR="00C5743A">
        <w:rPr>
          <w:lang w:val="sl-SI" w:eastAsia="sl-SI"/>
        </w:rPr>
        <w:t>pljenji proti prvi generaciji</w:t>
      </w:r>
      <w:r w:rsidR="009229F9">
        <w:rPr>
          <w:lang w:val="sl-SI" w:eastAsia="sl-SI"/>
        </w:rPr>
        <w:t xml:space="preserve"> beležimo manjše ulove, ki so </w:t>
      </w:r>
      <w:r w:rsidR="00B8102B" w:rsidRPr="00C22D3C">
        <w:rPr>
          <w:lang w:val="sl-SI" w:eastAsia="sl-SI"/>
        </w:rPr>
        <w:t xml:space="preserve"> trenutno še </w:t>
      </w:r>
      <w:r w:rsidRPr="00C22D3C">
        <w:rPr>
          <w:lang w:val="sl-SI" w:eastAsia="sl-SI"/>
        </w:rPr>
        <w:t>pod pragom škodljivosti</w:t>
      </w:r>
      <w:r w:rsidR="00EC17D2" w:rsidRPr="00C22D3C">
        <w:rPr>
          <w:lang w:val="sl-SI" w:eastAsia="sl-SI"/>
        </w:rPr>
        <w:t>.</w:t>
      </w:r>
      <w:r w:rsidRPr="00C22D3C">
        <w:rPr>
          <w:lang w:val="sl-SI" w:eastAsia="sl-SI"/>
        </w:rPr>
        <w:t xml:space="preserve"> Na opazovanih sadjarskih lokacijah je vsota efektivnih pri pragu 10 °C dosegla </w:t>
      </w:r>
      <w:r w:rsidR="00271D19" w:rsidRPr="00C22D3C">
        <w:rPr>
          <w:lang w:val="sl-SI" w:eastAsia="sl-SI"/>
        </w:rPr>
        <w:t xml:space="preserve">oz. presegla </w:t>
      </w:r>
      <w:r w:rsidRPr="00C22D3C">
        <w:rPr>
          <w:lang w:val="sl-SI" w:eastAsia="sl-SI"/>
        </w:rPr>
        <w:t xml:space="preserve">vrednost 650 °C, ko naj bi se na podlagi dolgoletnih podatkov začel let druge generacije. </w:t>
      </w:r>
    </w:p>
    <w:p w:rsidR="00271D19" w:rsidRPr="00C22D3C" w:rsidRDefault="00D87D23" w:rsidP="0011245C">
      <w:pPr>
        <w:rPr>
          <w:lang w:val="sl-SI" w:eastAsia="sl-SI"/>
        </w:rPr>
      </w:pPr>
      <w:r w:rsidRPr="00C22D3C">
        <w:rPr>
          <w:lang w:val="sl-SI" w:eastAsia="sl-SI"/>
        </w:rPr>
        <w:t>Pri pregledu in prerezu črvivih plodov še</w:t>
      </w:r>
      <w:r w:rsidR="00B8102B" w:rsidRPr="00C22D3C">
        <w:rPr>
          <w:lang w:val="sl-SI" w:eastAsia="sl-SI"/>
        </w:rPr>
        <w:t xml:space="preserve"> vedno</w:t>
      </w:r>
      <w:r w:rsidRPr="00C22D3C">
        <w:rPr>
          <w:lang w:val="sl-SI" w:eastAsia="sl-SI"/>
        </w:rPr>
        <w:t xml:space="preserve"> najdemo manjše število gosenic prve generacije, medtem ko večina gosenic plodove zapustila. </w:t>
      </w:r>
    </w:p>
    <w:p w:rsidR="00207702" w:rsidRDefault="00C63BDD" w:rsidP="0011245C">
      <w:pPr>
        <w:rPr>
          <w:lang w:val="sl-SI" w:eastAsia="sl-SI"/>
        </w:rPr>
      </w:pPr>
      <w:r w:rsidRPr="00C22D3C">
        <w:rPr>
          <w:lang w:val="sl-SI" w:eastAsia="sl-SI"/>
        </w:rPr>
        <w:t>Na osnovi opazovanj in podatkov</w:t>
      </w:r>
      <w:r w:rsidR="00271D19" w:rsidRPr="00C22D3C">
        <w:rPr>
          <w:lang w:val="sl-SI" w:eastAsia="sl-SI"/>
        </w:rPr>
        <w:t xml:space="preserve"> predvidevamo, da s</w:t>
      </w:r>
      <w:r w:rsidR="006D7083" w:rsidRPr="00C22D3C">
        <w:rPr>
          <w:lang w:val="sl-SI" w:eastAsia="sl-SI"/>
        </w:rPr>
        <w:t>e je začel</w:t>
      </w:r>
      <w:r w:rsidR="00271D19" w:rsidRPr="00C22D3C">
        <w:rPr>
          <w:lang w:val="sl-SI" w:eastAsia="sl-SI"/>
        </w:rPr>
        <w:t xml:space="preserve"> let druge generacije. </w:t>
      </w:r>
    </w:p>
    <w:p w:rsidR="00D87D23" w:rsidRPr="00C22D3C" w:rsidRDefault="00D87D23" w:rsidP="0011245C">
      <w:pPr>
        <w:rPr>
          <w:lang w:val="sl-SI" w:eastAsia="sl-SI"/>
        </w:rPr>
      </w:pPr>
      <w:r w:rsidRPr="00C22D3C">
        <w:rPr>
          <w:lang w:val="sl-SI" w:eastAsia="sl-SI"/>
        </w:rPr>
        <w:t>Za lažjo odločitev glede nadaljevanja strategije zatiranja jabolčnega zavijača in preverjana učinkovitosti zatiranja prvega rodu jabolčnega zavijača preglejte nasade jablan. Pregled naj obsega 1000 plodov posamezne sorte (prag škodljivosti za prvi rod je 2 %, za drugi rod pa 1% črvivih plodov).</w:t>
      </w:r>
    </w:p>
    <w:p w:rsidR="00D87D23" w:rsidRPr="00207702" w:rsidRDefault="00C63BDD" w:rsidP="0011245C">
      <w:pPr>
        <w:rPr>
          <w:lang w:val="sl-SI" w:eastAsia="sl-SI"/>
        </w:rPr>
      </w:pPr>
      <w:r w:rsidRPr="00C22D3C">
        <w:rPr>
          <w:lang w:val="sl-SI" w:eastAsia="sl-SI"/>
        </w:rPr>
        <w:t>Ob upoštevanju ro</w:t>
      </w:r>
      <w:r w:rsidR="00207702">
        <w:rPr>
          <w:lang w:val="sl-SI" w:eastAsia="sl-SI"/>
        </w:rPr>
        <w:t>kov zatiranja prve generacije,</w:t>
      </w:r>
      <w:r w:rsidRPr="00C22D3C">
        <w:rPr>
          <w:lang w:val="sl-SI" w:eastAsia="sl-SI"/>
        </w:rPr>
        <w:t xml:space="preserve"> g</w:t>
      </w:r>
      <w:r w:rsidR="00D87D23" w:rsidRPr="00C22D3C">
        <w:rPr>
          <w:lang w:val="sl-SI" w:eastAsia="sl-SI"/>
        </w:rPr>
        <w:t>lede na navedena dejstva</w:t>
      </w:r>
      <w:r w:rsidR="00207702">
        <w:rPr>
          <w:lang w:val="sl-SI" w:eastAsia="sl-SI"/>
        </w:rPr>
        <w:t xml:space="preserve"> in vremensko napoved</w:t>
      </w:r>
      <w:r w:rsidR="00D87D23" w:rsidRPr="00C22D3C">
        <w:rPr>
          <w:lang w:val="sl-SI" w:eastAsia="sl-SI"/>
        </w:rPr>
        <w:t xml:space="preserve"> svetujemo, da naslednje škropljenje usmerite v razvoja druge</w:t>
      </w:r>
      <w:r w:rsidRPr="00C22D3C">
        <w:rPr>
          <w:lang w:val="sl-SI" w:eastAsia="sl-SI"/>
        </w:rPr>
        <w:t xml:space="preserve"> g</w:t>
      </w:r>
      <w:r w:rsidR="00207702">
        <w:rPr>
          <w:lang w:val="sl-SI" w:eastAsia="sl-SI"/>
        </w:rPr>
        <w:t>eneracije jabolčnega zavijača ter</w:t>
      </w:r>
      <w:r w:rsidRPr="00C22D3C">
        <w:rPr>
          <w:lang w:val="sl-SI" w:eastAsia="sl-SI"/>
        </w:rPr>
        <w:t xml:space="preserve"> ga </w:t>
      </w:r>
      <w:r w:rsidR="00D87D23" w:rsidRPr="00C22D3C">
        <w:rPr>
          <w:lang w:val="sl-SI" w:eastAsia="sl-SI"/>
        </w:rPr>
        <w:t xml:space="preserve">opravite </w:t>
      </w:r>
      <w:r w:rsidR="00207702" w:rsidRPr="00207702">
        <w:rPr>
          <w:b/>
          <w:lang w:val="sl-SI" w:eastAsia="sl-SI"/>
        </w:rPr>
        <w:t>med 19. in 30</w:t>
      </w:r>
      <w:r w:rsidR="00D87D23" w:rsidRPr="00207702">
        <w:rPr>
          <w:b/>
          <w:lang w:val="sl-SI" w:eastAsia="sl-SI"/>
        </w:rPr>
        <w:t>. julijem.</w:t>
      </w:r>
      <w:r w:rsidR="00D87D23" w:rsidRPr="00C22D3C">
        <w:rPr>
          <w:b/>
          <w:lang w:val="sl-SI" w:eastAsia="sl-SI"/>
        </w:rPr>
        <w:t xml:space="preserve"> </w:t>
      </w:r>
      <w:r w:rsidR="00D87D23" w:rsidRPr="00207702">
        <w:rPr>
          <w:bCs/>
          <w:lang w:val="sl-SI" w:eastAsia="sl-SI"/>
        </w:rPr>
        <w:t>V nasadih, kjer so ulovi</w:t>
      </w:r>
      <w:r w:rsidR="00D87D23" w:rsidRPr="00207702">
        <w:rPr>
          <w:b/>
          <w:lang w:val="sl-SI" w:eastAsia="sl-SI"/>
        </w:rPr>
        <w:t xml:space="preserve"> </w:t>
      </w:r>
      <w:r w:rsidR="00D87D23" w:rsidRPr="00207702">
        <w:rPr>
          <w:bCs/>
          <w:lang w:val="sl-SI" w:eastAsia="sl-SI"/>
        </w:rPr>
        <w:t xml:space="preserve">metuljčkov </w:t>
      </w:r>
      <w:r w:rsidR="00D87D23" w:rsidRPr="00207702">
        <w:rPr>
          <w:lang w:val="sl-SI" w:eastAsia="sl-SI"/>
        </w:rPr>
        <w:t>trenutno maloštevilni in ne najdete črvivih plodov, usmerite škropljenje v drugo polovico napovedanega roka zatiranja.</w:t>
      </w:r>
    </w:p>
    <w:p w:rsidR="00D87D23" w:rsidRPr="00C22D3C" w:rsidRDefault="00D87D23" w:rsidP="0011245C">
      <w:pPr>
        <w:rPr>
          <w:lang w:val="sl-SI" w:eastAsia="sl-SI"/>
        </w:rPr>
      </w:pPr>
      <w:r w:rsidRPr="00C22D3C">
        <w:rPr>
          <w:lang w:val="sl-SI" w:eastAsia="sl-SI"/>
        </w:rPr>
        <w:t xml:space="preserve">Pri uporabi pripravkov dajte prednost tistim, ki imajo najkrajšo karenčno dobo. Svetujemo uporabo pripravka </w:t>
      </w:r>
      <w:proofErr w:type="spellStart"/>
      <w:r w:rsidRPr="00C22D3C">
        <w:rPr>
          <w:b/>
          <w:lang w:val="sl-SI" w:eastAsia="sl-SI"/>
        </w:rPr>
        <w:t>Affirm</w:t>
      </w:r>
      <w:proofErr w:type="spellEnd"/>
      <w:r w:rsidRPr="00C22D3C">
        <w:rPr>
          <w:lang w:val="sl-SI" w:eastAsia="sl-SI"/>
        </w:rPr>
        <w:t xml:space="preserve"> (1 kg/ha na 1 m višine krošnje, pri čemer najvišji odmerek ne sme preseči 4 kg/ha), </w:t>
      </w:r>
      <w:proofErr w:type="spellStart"/>
      <w:r w:rsidRPr="00C22D3C">
        <w:rPr>
          <w:b/>
          <w:lang w:val="sl-SI" w:eastAsia="sl-SI"/>
        </w:rPr>
        <w:t>Affirm</w:t>
      </w:r>
      <w:proofErr w:type="spellEnd"/>
      <w:r w:rsidRPr="00C22D3C">
        <w:rPr>
          <w:b/>
          <w:lang w:val="sl-SI" w:eastAsia="sl-SI"/>
        </w:rPr>
        <w:t xml:space="preserve"> </w:t>
      </w:r>
      <w:proofErr w:type="spellStart"/>
      <w:r w:rsidRPr="00C22D3C">
        <w:rPr>
          <w:b/>
          <w:lang w:val="sl-SI" w:eastAsia="sl-SI"/>
        </w:rPr>
        <w:t>opti</w:t>
      </w:r>
      <w:proofErr w:type="spellEnd"/>
      <w:r w:rsidRPr="00C22D3C">
        <w:rPr>
          <w:lang w:val="sl-SI" w:eastAsia="sl-SI"/>
        </w:rPr>
        <w:t xml:space="preserve"> (2 kg/ha) ali </w:t>
      </w:r>
      <w:r w:rsidRPr="00C22D3C">
        <w:rPr>
          <w:b/>
          <w:bCs/>
          <w:lang w:val="sl-SI" w:eastAsia="sl-SI"/>
        </w:rPr>
        <w:t xml:space="preserve">Delegate 250 WG </w:t>
      </w:r>
      <w:r w:rsidRPr="00C22D3C">
        <w:rPr>
          <w:lang w:val="sl-SI" w:eastAsia="sl-SI"/>
        </w:rPr>
        <w:t xml:space="preserve">(0,3 kg/ha), ki imajo kratko karenco (7 dni). Uporabite lahko tudi pripravek </w:t>
      </w:r>
      <w:r w:rsidRPr="00C22D3C">
        <w:rPr>
          <w:b/>
          <w:bCs/>
          <w:lang w:val="sl-SI" w:eastAsia="sl-SI"/>
        </w:rPr>
        <w:t xml:space="preserve">Laser plus </w:t>
      </w:r>
      <w:r w:rsidRPr="00C22D3C">
        <w:rPr>
          <w:lang w:val="sl-SI" w:eastAsia="sl-SI"/>
        </w:rPr>
        <w:t>(0,3 L/ha),</w:t>
      </w:r>
      <w:r w:rsidRPr="00C22D3C">
        <w:rPr>
          <w:b/>
          <w:bCs/>
          <w:lang w:val="sl-SI" w:eastAsia="sl-SI"/>
        </w:rPr>
        <w:t xml:space="preserve"> </w:t>
      </w:r>
      <w:r w:rsidR="003A5AF6" w:rsidRPr="00C22D3C">
        <w:rPr>
          <w:lang w:val="sl-SI" w:eastAsia="sl-SI"/>
        </w:rPr>
        <w:t>ki ima dovoljenje</w:t>
      </w:r>
      <w:r w:rsidRPr="00C22D3C">
        <w:rPr>
          <w:lang w:val="sl-SI" w:eastAsia="sl-SI"/>
        </w:rPr>
        <w:t xml:space="preserve"> za uporabo </w:t>
      </w:r>
      <w:r w:rsidRPr="00C22D3C">
        <w:rPr>
          <w:b/>
          <w:lang w:val="sl-SI" w:eastAsia="sl-SI"/>
        </w:rPr>
        <w:t>tudi v ekološki pridelavi</w:t>
      </w:r>
      <w:r w:rsidRPr="00C22D3C">
        <w:rPr>
          <w:lang w:val="sl-SI" w:eastAsia="sl-SI"/>
        </w:rPr>
        <w:t xml:space="preserve"> in ima prav tako karenco 7 dni. Slednja dva pripravka lahko uporabite </w:t>
      </w:r>
      <w:r w:rsidRPr="0011245C">
        <w:rPr>
          <w:b/>
          <w:lang w:val="sl-SI" w:eastAsia="sl-SI"/>
        </w:rPr>
        <w:t>le 1x v rastni dobi</w:t>
      </w:r>
      <w:r w:rsidRPr="00C22D3C">
        <w:rPr>
          <w:lang w:val="sl-SI" w:eastAsia="sl-SI"/>
        </w:rPr>
        <w:t xml:space="preserve">. </w:t>
      </w:r>
    </w:p>
    <w:p w:rsidR="00D87D23" w:rsidRPr="00C22D3C" w:rsidRDefault="00D87D23" w:rsidP="0011245C">
      <w:pPr>
        <w:rPr>
          <w:lang w:val="sl-SI" w:eastAsia="sl-SI"/>
        </w:rPr>
      </w:pPr>
      <w:r w:rsidRPr="00C22D3C">
        <w:rPr>
          <w:lang w:val="sl-SI" w:eastAsia="sl-SI"/>
        </w:rPr>
        <w:t>Pri sortah, ki se pozno obirajo (v oktobru) lahko za zatiranje drugega rodu jabolčnega z</w:t>
      </w:r>
      <w:r w:rsidR="002C763B" w:rsidRPr="00C22D3C">
        <w:rPr>
          <w:lang w:val="sl-SI" w:eastAsia="sl-SI"/>
        </w:rPr>
        <w:t>avijača uporabite</w:t>
      </w:r>
      <w:r w:rsidR="00C22D3C" w:rsidRPr="00C22D3C">
        <w:rPr>
          <w:lang w:val="sl-SI" w:eastAsia="sl-SI"/>
        </w:rPr>
        <w:t xml:space="preserve"> tudi</w:t>
      </w:r>
      <w:r w:rsidR="002C763B" w:rsidRPr="00C22D3C">
        <w:rPr>
          <w:lang w:val="sl-SI" w:eastAsia="sl-SI"/>
        </w:rPr>
        <w:t xml:space="preserve"> </w:t>
      </w:r>
      <w:proofErr w:type="spellStart"/>
      <w:r w:rsidR="00C22D3C" w:rsidRPr="00436767">
        <w:rPr>
          <w:b/>
          <w:lang w:val="sl-SI"/>
        </w:rPr>
        <w:t>Coragen</w:t>
      </w:r>
      <w:proofErr w:type="spellEnd"/>
      <w:r w:rsidR="00C22D3C" w:rsidRPr="00436767">
        <w:rPr>
          <w:b/>
          <w:lang w:val="sl-SI"/>
        </w:rPr>
        <w:t xml:space="preserve"> </w:t>
      </w:r>
      <w:r w:rsidR="00C22D3C" w:rsidRPr="00C22D3C">
        <w:rPr>
          <w:lang w:val="sl-SI"/>
        </w:rPr>
        <w:t xml:space="preserve">v odmerku 18 </w:t>
      </w:r>
      <w:proofErr w:type="spellStart"/>
      <w:r w:rsidR="00C22D3C" w:rsidRPr="00C22D3C">
        <w:rPr>
          <w:lang w:val="sl-SI"/>
        </w:rPr>
        <w:t>mL</w:t>
      </w:r>
      <w:proofErr w:type="spellEnd"/>
      <w:r w:rsidR="00C22D3C" w:rsidRPr="00C22D3C">
        <w:rPr>
          <w:lang w:val="sl-SI"/>
        </w:rPr>
        <w:t>/</w:t>
      </w:r>
      <w:proofErr w:type="spellStart"/>
      <w:r w:rsidR="00C22D3C" w:rsidRPr="00C22D3C">
        <w:rPr>
          <w:lang w:val="sl-SI"/>
        </w:rPr>
        <w:t>hL</w:t>
      </w:r>
      <w:proofErr w:type="spellEnd"/>
      <w:r w:rsidR="00C22D3C" w:rsidRPr="00C22D3C">
        <w:rPr>
          <w:lang w:val="sl-SI"/>
        </w:rPr>
        <w:t xml:space="preserve">, pri tem najvišji dovoljen odmerek ne sme presegati 270 </w:t>
      </w:r>
      <w:proofErr w:type="spellStart"/>
      <w:r w:rsidR="00C22D3C" w:rsidRPr="00C22D3C">
        <w:rPr>
          <w:lang w:val="sl-SI"/>
        </w:rPr>
        <w:t>mL</w:t>
      </w:r>
      <w:proofErr w:type="spellEnd"/>
      <w:r w:rsidR="00C22D3C" w:rsidRPr="00C22D3C">
        <w:rPr>
          <w:lang w:val="sl-SI"/>
        </w:rPr>
        <w:t xml:space="preserve"> pripravka/ha ali</w:t>
      </w:r>
      <w:r w:rsidRPr="00C22D3C">
        <w:rPr>
          <w:lang w:val="sl-SI" w:eastAsia="sl-SI"/>
        </w:rPr>
        <w:t xml:space="preserve"> insekticid MAC skupine </w:t>
      </w:r>
      <w:r w:rsidRPr="00C22D3C">
        <w:rPr>
          <w:b/>
          <w:lang w:val="sl-SI" w:eastAsia="sl-SI"/>
        </w:rPr>
        <w:t xml:space="preserve">Mimic </w:t>
      </w:r>
      <w:r w:rsidRPr="00C22D3C">
        <w:rPr>
          <w:lang w:val="sl-SI" w:eastAsia="sl-SI"/>
        </w:rPr>
        <w:t>(</w:t>
      </w:r>
      <w:r w:rsidR="002C763B" w:rsidRPr="00C22D3C">
        <w:rPr>
          <w:lang w:val="sl-SI" w:eastAsia="sl-SI"/>
        </w:rPr>
        <w:t xml:space="preserve">0,9 - </w:t>
      </w:r>
      <w:r w:rsidRPr="00C22D3C">
        <w:rPr>
          <w:lang w:val="sl-SI" w:eastAsia="sl-SI"/>
        </w:rPr>
        <w:t>1 L/ha), če imate</w:t>
      </w:r>
      <w:r w:rsidR="002C763B" w:rsidRPr="00C22D3C">
        <w:rPr>
          <w:lang w:val="sl-SI" w:eastAsia="sl-SI"/>
        </w:rPr>
        <w:t xml:space="preserve"> težave z ušmi, pa je možna prav tako  uporaba pripravka</w:t>
      </w:r>
      <w:r w:rsidRPr="00C22D3C">
        <w:rPr>
          <w:lang w:val="sl-SI" w:eastAsia="sl-SI"/>
        </w:rPr>
        <w:t xml:space="preserve"> </w:t>
      </w:r>
      <w:proofErr w:type="spellStart"/>
      <w:r w:rsidRPr="00C22D3C">
        <w:rPr>
          <w:b/>
          <w:lang w:val="sl-SI" w:eastAsia="sl-SI"/>
        </w:rPr>
        <w:t>Mospilan</w:t>
      </w:r>
      <w:proofErr w:type="spellEnd"/>
      <w:r w:rsidRPr="00C22D3C">
        <w:rPr>
          <w:b/>
          <w:lang w:val="sl-SI" w:eastAsia="sl-SI"/>
        </w:rPr>
        <w:t xml:space="preserve"> 20 SG</w:t>
      </w:r>
      <w:r w:rsidRPr="00C22D3C">
        <w:rPr>
          <w:lang w:val="sl-SI" w:eastAsia="sl-SI"/>
        </w:rPr>
        <w:t xml:space="preserve"> (0,4 kg/ha).</w:t>
      </w:r>
    </w:p>
    <w:p w:rsidR="00D87D23" w:rsidRPr="00C22D3C" w:rsidRDefault="00D87D23" w:rsidP="0011245C">
      <w:pPr>
        <w:rPr>
          <w:lang w:val="sl-SI" w:eastAsia="sl-SI"/>
        </w:rPr>
      </w:pPr>
      <w:r w:rsidRPr="00C22D3C">
        <w:rPr>
          <w:lang w:val="sl-SI" w:eastAsia="sl-SI"/>
        </w:rPr>
        <w:t xml:space="preserve">V nasadih, kjer je jabolčni zavijač v preteklih letih povzročil veliko škode je priporočljivo za slabitev populacije redno dodajanje polovičnega odmerka granuloznega virusa </w:t>
      </w:r>
      <w:proofErr w:type="spellStart"/>
      <w:r w:rsidRPr="00C22D3C">
        <w:rPr>
          <w:b/>
          <w:lang w:val="sl-SI" w:eastAsia="sl-SI"/>
        </w:rPr>
        <w:t>Madex</w:t>
      </w:r>
      <w:proofErr w:type="spellEnd"/>
      <w:r w:rsidRPr="00C22D3C">
        <w:rPr>
          <w:b/>
          <w:lang w:val="sl-SI" w:eastAsia="sl-SI"/>
        </w:rPr>
        <w:t xml:space="preserve"> </w:t>
      </w:r>
      <w:proofErr w:type="spellStart"/>
      <w:r w:rsidRPr="00C22D3C">
        <w:rPr>
          <w:b/>
          <w:lang w:val="sl-SI" w:eastAsia="sl-SI"/>
        </w:rPr>
        <w:t>max</w:t>
      </w:r>
      <w:proofErr w:type="spellEnd"/>
      <w:r w:rsidRPr="00C22D3C">
        <w:rPr>
          <w:lang w:val="sl-SI" w:eastAsia="sl-SI"/>
        </w:rPr>
        <w:t xml:space="preserve"> ali </w:t>
      </w:r>
      <w:proofErr w:type="spellStart"/>
      <w:r w:rsidRPr="00C22D3C">
        <w:rPr>
          <w:b/>
          <w:lang w:val="sl-SI" w:eastAsia="sl-SI"/>
        </w:rPr>
        <w:t>Carpovirusine</w:t>
      </w:r>
      <w:proofErr w:type="spellEnd"/>
      <w:r w:rsidRPr="00C22D3C">
        <w:rPr>
          <w:lang w:val="sl-SI" w:eastAsia="sl-SI"/>
        </w:rPr>
        <w:t xml:space="preserve">. </w:t>
      </w:r>
    </w:p>
    <w:p w:rsidR="00D87D23" w:rsidRPr="00C22D3C" w:rsidRDefault="00D87D23" w:rsidP="0011245C">
      <w:pPr>
        <w:rPr>
          <w:lang w:val="sl-SI" w:eastAsia="sl-SI"/>
        </w:rPr>
      </w:pPr>
      <w:r w:rsidRPr="00C22D3C">
        <w:rPr>
          <w:lang w:val="sl-SI" w:eastAsia="sl-SI"/>
        </w:rPr>
        <w:t xml:space="preserve">Redno spremljate populacijo </w:t>
      </w:r>
      <w:r w:rsidRPr="00C22D3C">
        <w:rPr>
          <w:b/>
          <w:bCs/>
          <w:lang w:val="sl-SI" w:eastAsia="sl-SI"/>
        </w:rPr>
        <w:t xml:space="preserve">listnih in krvave uš </w:t>
      </w:r>
      <w:r w:rsidRPr="00C22D3C">
        <w:rPr>
          <w:lang w:val="sl-SI" w:eastAsia="sl-SI"/>
        </w:rPr>
        <w:t xml:space="preserve">ter </w:t>
      </w:r>
      <w:r w:rsidRPr="00C22D3C">
        <w:rPr>
          <w:b/>
          <w:bCs/>
          <w:lang w:val="sl-SI" w:eastAsia="sl-SI"/>
        </w:rPr>
        <w:t>rdeče sadne pršice</w:t>
      </w:r>
      <w:r w:rsidRPr="00C22D3C">
        <w:rPr>
          <w:lang w:val="sl-SI" w:eastAsia="sl-SI"/>
        </w:rPr>
        <w:t>.</w:t>
      </w:r>
      <w:r w:rsidR="003A5AF6" w:rsidRPr="00C22D3C">
        <w:rPr>
          <w:lang w:val="sl-SI" w:eastAsia="sl-SI"/>
        </w:rPr>
        <w:t xml:space="preserve"> Slednja se je v zadnjem obdobju v posameznih nasadi kar močno </w:t>
      </w:r>
      <w:proofErr w:type="spellStart"/>
      <w:r w:rsidR="003A5AF6" w:rsidRPr="00C22D3C">
        <w:rPr>
          <w:lang w:val="sl-SI" w:eastAsia="sl-SI"/>
        </w:rPr>
        <w:t>prerazmnožila</w:t>
      </w:r>
      <w:proofErr w:type="spellEnd"/>
      <w:r w:rsidR="003A5AF6" w:rsidRPr="00C22D3C">
        <w:rPr>
          <w:lang w:val="sl-SI" w:eastAsia="sl-SI"/>
        </w:rPr>
        <w:t xml:space="preserve">. </w:t>
      </w:r>
      <w:r w:rsidRPr="00C22D3C">
        <w:rPr>
          <w:lang w:val="sl-SI" w:eastAsia="sl-SI"/>
        </w:rPr>
        <w:t xml:space="preserve">Ob preseganju praga škodljivost  uporabite enega od registriranih pripravkov za njihovo zatiranje. </w:t>
      </w:r>
    </w:p>
    <w:p w:rsidR="00EB34A3" w:rsidRPr="0011245C" w:rsidRDefault="00FE61F2" w:rsidP="0011245C">
      <w:pPr>
        <w:pStyle w:val="Heading2"/>
      </w:pPr>
      <w:proofErr w:type="spellStart"/>
      <w:r w:rsidRPr="0011245C">
        <w:lastRenderedPageBreak/>
        <w:t>J</w:t>
      </w:r>
      <w:r w:rsidR="004D1EE2" w:rsidRPr="0011245C">
        <w:t>ablanov</w:t>
      </w:r>
      <w:proofErr w:type="spellEnd"/>
      <w:r w:rsidR="004D1EE2" w:rsidRPr="0011245C">
        <w:t xml:space="preserve"> </w:t>
      </w:r>
      <w:proofErr w:type="spellStart"/>
      <w:r w:rsidR="004D1EE2" w:rsidRPr="0011245C">
        <w:t>škrlup</w:t>
      </w:r>
      <w:proofErr w:type="spellEnd"/>
    </w:p>
    <w:p w:rsidR="00F027E8" w:rsidRPr="00F027E8" w:rsidRDefault="00F027E8" w:rsidP="0011245C">
      <w:pPr>
        <w:rPr>
          <w:lang w:val="sl-SI"/>
        </w:rPr>
      </w:pPr>
      <w:r w:rsidRPr="00F027E8">
        <w:rPr>
          <w:lang w:val="sl-SI"/>
        </w:rPr>
        <w:t xml:space="preserve">V nasadih, kjer škrlupa ne najdete </w:t>
      </w:r>
      <w:r w:rsidR="002A5E8B">
        <w:rPr>
          <w:lang w:val="sl-SI"/>
        </w:rPr>
        <w:t>naj bodo razmiki med škropljenji</w:t>
      </w:r>
      <w:r w:rsidRPr="00F027E8">
        <w:rPr>
          <w:lang w:val="sl-SI"/>
        </w:rPr>
        <w:t xml:space="preserve"> 14 dni.</w:t>
      </w:r>
      <w:r w:rsidR="002A5E8B">
        <w:rPr>
          <w:lang w:val="sl-SI"/>
        </w:rPr>
        <w:t xml:space="preserve"> V primeru, ko po opravljenem škropljenju pade od 20-30 mm dežja, je </w:t>
      </w:r>
      <w:proofErr w:type="spellStart"/>
      <w:r w:rsidR="002A5E8B">
        <w:rPr>
          <w:lang w:val="sl-SI"/>
        </w:rPr>
        <w:t>fungicidna</w:t>
      </w:r>
      <w:proofErr w:type="spellEnd"/>
      <w:r w:rsidR="002A5E8B">
        <w:rPr>
          <w:lang w:val="sl-SI"/>
        </w:rPr>
        <w:t xml:space="preserve"> obloga sprana in je potrebno ponoviti škropljenje pred naslednjimi napovedanimi padavinami.</w:t>
      </w:r>
    </w:p>
    <w:p w:rsidR="00F027E8" w:rsidRPr="00F027E8" w:rsidRDefault="00F027E8" w:rsidP="0011245C">
      <w:pPr>
        <w:rPr>
          <w:lang w:val="sl-SI"/>
        </w:rPr>
      </w:pPr>
      <w:r w:rsidRPr="00F027E8">
        <w:rPr>
          <w:lang w:val="sl-SI"/>
        </w:rPr>
        <w:t xml:space="preserve">V nasadih, kjer so na listih </w:t>
      </w:r>
      <w:r w:rsidR="00583E37">
        <w:rPr>
          <w:lang w:val="sl-SI"/>
        </w:rPr>
        <w:t xml:space="preserve">in plodovih </w:t>
      </w:r>
      <w:r w:rsidRPr="00F027E8">
        <w:rPr>
          <w:lang w:val="sl-SI"/>
        </w:rPr>
        <w:t xml:space="preserve">pege posrbite, da bodo plodovi stalno zaščiteni s </w:t>
      </w:r>
      <w:proofErr w:type="spellStart"/>
      <w:r w:rsidRPr="00F027E8">
        <w:rPr>
          <w:lang w:val="sl-SI"/>
        </w:rPr>
        <w:t>fungicidno</w:t>
      </w:r>
      <w:proofErr w:type="spellEnd"/>
      <w:r w:rsidRPr="00F027E8">
        <w:rPr>
          <w:lang w:val="sl-SI"/>
        </w:rPr>
        <w:t xml:space="preserve"> oblogo in nadaljujte s preventivno zaščito plodov. </w:t>
      </w:r>
    </w:p>
    <w:p w:rsidR="00F027E8" w:rsidRDefault="00F027E8" w:rsidP="0011245C">
      <w:pPr>
        <w:rPr>
          <w:lang w:val="sl-SI"/>
        </w:rPr>
      </w:pPr>
      <w:r w:rsidRPr="00F027E8">
        <w:rPr>
          <w:lang w:val="sl-SI"/>
        </w:rPr>
        <w:t>Škropljenje opravite s kontaktnim fungicidom na os</w:t>
      </w:r>
      <w:r w:rsidR="0060369B">
        <w:rPr>
          <w:lang w:val="sl-SI"/>
        </w:rPr>
        <w:t xml:space="preserve">novi aktivne snovi </w:t>
      </w:r>
      <w:proofErr w:type="spellStart"/>
      <w:r w:rsidR="0060369B">
        <w:rPr>
          <w:lang w:val="sl-SI"/>
        </w:rPr>
        <w:t>kaptan</w:t>
      </w:r>
      <w:proofErr w:type="spellEnd"/>
      <w:r w:rsidR="0060369B">
        <w:rPr>
          <w:lang w:val="sl-SI"/>
        </w:rPr>
        <w:t xml:space="preserve"> kot je</w:t>
      </w:r>
      <w:r w:rsidRPr="00F027E8">
        <w:rPr>
          <w:lang w:val="sl-SI"/>
        </w:rPr>
        <w:t xml:space="preserve">: </w:t>
      </w:r>
      <w:proofErr w:type="spellStart"/>
      <w:r w:rsidRPr="00F027E8">
        <w:rPr>
          <w:lang w:val="sl-SI"/>
        </w:rPr>
        <w:t>Merpan</w:t>
      </w:r>
      <w:proofErr w:type="spellEnd"/>
      <w:r w:rsidRPr="00F027E8">
        <w:rPr>
          <w:lang w:val="sl-SI"/>
        </w:rPr>
        <w:t xml:space="preserve"> 80 WDG (1,88 kg/ha), </w:t>
      </w:r>
      <w:proofErr w:type="spellStart"/>
      <w:r w:rsidRPr="00F027E8">
        <w:rPr>
          <w:lang w:val="sl-SI"/>
        </w:rPr>
        <w:t>Orthocide</w:t>
      </w:r>
      <w:proofErr w:type="spellEnd"/>
      <w:r w:rsidRPr="00F027E8">
        <w:rPr>
          <w:lang w:val="sl-SI"/>
        </w:rPr>
        <w:t xml:space="preserve"> 80 WG (2 kg/ha) ali </w:t>
      </w:r>
      <w:proofErr w:type="spellStart"/>
      <w:r w:rsidRPr="00F027E8">
        <w:rPr>
          <w:lang w:val="sl-SI"/>
        </w:rPr>
        <w:t>Merplus</w:t>
      </w:r>
      <w:proofErr w:type="spellEnd"/>
      <w:r w:rsidRPr="00F027E8">
        <w:rPr>
          <w:lang w:val="sl-SI"/>
        </w:rPr>
        <w:t xml:space="preserve"> (2L/ha). </w:t>
      </w:r>
    </w:p>
    <w:p w:rsidR="00583E37" w:rsidRDefault="00FE61F2" w:rsidP="0011245C">
      <w:pPr>
        <w:rPr>
          <w:lang w:val="sl-SI" w:eastAsia="sl-SI"/>
        </w:rPr>
      </w:pPr>
      <w:r w:rsidRPr="00FE61F2">
        <w:rPr>
          <w:lang w:val="sl-SI" w:eastAsia="sl-SI"/>
        </w:rPr>
        <w:t xml:space="preserve">V kolikor še imete na zalogi je v tem času je prav tako smiselna uporaba pripravka na osnovi </w:t>
      </w:r>
      <w:proofErr w:type="spellStart"/>
      <w:r w:rsidRPr="00FE61F2">
        <w:rPr>
          <w:lang w:val="sl-SI" w:eastAsia="sl-SI"/>
        </w:rPr>
        <w:t>a.s</w:t>
      </w:r>
      <w:proofErr w:type="spellEnd"/>
      <w:r w:rsidRPr="00FE61F2">
        <w:rPr>
          <w:lang w:val="sl-SI" w:eastAsia="sl-SI"/>
        </w:rPr>
        <w:t xml:space="preserve">. </w:t>
      </w:r>
      <w:proofErr w:type="spellStart"/>
      <w:r w:rsidRPr="00FE61F2">
        <w:rPr>
          <w:lang w:val="sl-SI" w:eastAsia="sl-SI"/>
        </w:rPr>
        <w:t>trifoksistrobina</w:t>
      </w:r>
      <w:proofErr w:type="spellEnd"/>
      <w:r w:rsidRPr="00FE61F2">
        <w:rPr>
          <w:lang w:val="sl-SI" w:eastAsia="sl-SI"/>
        </w:rPr>
        <w:t xml:space="preserve">, ki delujejo tudi na pozni-skladiščni škrlup in ostale skladiščne bolezni kot je: </w:t>
      </w:r>
      <w:r w:rsidRPr="00FE61F2">
        <w:rPr>
          <w:b/>
          <w:lang w:val="sl-SI" w:eastAsia="sl-SI"/>
        </w:rPr>
        <w:t>Zato 50 WG</w:t>
      </w:r>
      <w:r w:rsidRPr="00FE61F2">
        <w:rPr>
          <w:lang w:val="sl-SI" w:eastAsia="sl-SI"/>
        </w:rPr>
        <w:t xml:space="preserve"> ali kombinacije </w:t>
      </w:r>
      <w:proofErr w:type="spellStart"/>
      <w:r w:rsidRPr="00FE61F2">
        <w:rPr>
          <w:lang w:val="sl-SI" w:eastAsia="sl-SI"/>
        </w:rPr>
        <w:t>a.s</w:t>
      </w:r>
      <w:proofErr w:type="spellEnd"/>
      <w:r w:rsidRPr="00FE61F2">
        <w:rPr>
          <w:lang w:val="sl-SI" w:eastAsia="sl-SI"/>
        </w:rPr>
        <w:t xml:space="preserve">. </w:t>
      </w:r>
      <w:proofErr w:type="spellStart"/>
      <w:r w:rsidRPr="00FE61F2">
        <w:rPr>
          <w:lang w:val="sl-SI" w:eastAsia="sl-SI"/>
        </w:rPr>
        <w:t>merpan</w:t>
      </w:r>
      <w:proofErr w:type="spellEnd"/>
      <w:r w:rsidRPr="00FE61F2">
        <w:rPr>
          <w:lang w:val="sl-SI" w:eastAsia="sl-SI"/>
        </w:rPr>
        <w:t xml:space="preserve"> in </w:t>
      </w:r>
      <w:proofErr w:type="spellStart"/>
      <w:r w:rsidRPr="00FE61F2">
        <w:rPr>
          <w:lang w:val="sl-SI" w:eastAsia="sl-SI"/>
        </w:rPr>
        <w:t>trifoksistrobin</w:t>
      </w:r>
      <w:proofErr w:type="spellEnd"/>
      <w:r w:rsidRPr="00FE61F2">
        <w:rPr>
          <w:lang w:val="sl-SI" w:eastAsia="sl-SI"/>
        </w:rPr>
        <w:t xml:space="preserve"> kot je </w:t>
      </w:r>
      <w:r w:rsidRPr="00FE61F2">
        <w:rPr>
          <w:b/>
          <w:lang w:val="sl-SI" w:eastAsia="sl-SI"/>
        </w:rPr>
        <w:t>Zato plus</w:t>
      </w:r>
      <w:r w:rsidRPr="00FE61F2">
        <w:rPr>
          <w:lang w:val="sl-SI" w:eastAsia="sl-SI"/>
        </w:rPr>
        <w:t xml:space="preserve"> (1,9 kg/ha). </w:t>
      </w:r>
    </w:p>
    <w:p w:rsidR="00FE61F2" w:rsidRPr="00FE61F2" w:rsidRDefault="00FE61F2" w:rsidP="0011245C">
      <w:pPr>
        <w:rPr>
          <w:lang w:val="sl-SI" w:eastAsia="sl-SI"/>
        </w:rPr>
      </w:pPr>
      <w:r w:rsidRPr="00FE61F2">
        <w:rPr>
          <w:b/>
          <w:lang w:val="sl-SI" w:eastAsia="sl-SI"/>
        </w:rPr>
        <w:t xml:space="preserve">Pri zgodnjih sortah jabolk pazite na karenco! Bodite dosledni pri upoštevanju karenčne dobe glede na tehnološki rok obiranja! </w:t>
      </w:r>
    </w:p>
    <w:p w:rsidR="00EB34A3" w:rsidRDefault="00F027E8" w:rsidP="0011245C">
      <w:pPr>
        <w:rPr>
          <w:lang w:val="sl-SI"/>
        </w:rPr>
      </w:pPr>
      <w:r w:rsidRPr="00F027E8">
        <w:rPr>
          <w:lang w:val="sl-SI"/>
        </w:rPr>
        <w:t>Enaka strategija škropljenja proti škrlupu velja tudi za hruške.</w:t>
      </w:r>
    </w:p>
    <w:p w:rsidR="00FE61F2" w:rsidRPr="00692B7D" w:rsidRDefault="00FE61F2" w:rsidP="0011245C">
      <w:pPr>
        <w:pStyle w:val="OBVESTILONapisslikegrafikonapreglednice"/>
        <w:rPr>
          <w:lang w:val="sl-SI" w:eastAsia="sl-SI"/>
        </w:rPr>
      </w:pPr>
      <w:r w:rsidRPr="00692B7D">
        <w:rPr>
          <w:lang w:val="sl-SI" w:eastAsia="sl-SI"/>
        </w:rPr>
        <w:t>Preglednica: Pripravki in karenčne dobe</w:t>
      </w:r>
      <w:r w:rsidR="0011245C">
        <w:rPr>
          <w:lang w:val="sl-SI" w:eastAsia="sl-SI"/>
        </w:rPr>
        <w:t xml:space="preserve"> fitofarmacevtskih sredstev</w:t>
      </w:r>
    </w:p>
    <w:tbl>
      <w:tblPr>
        <w:tblStyle w:val="TableGrid"/>
        <w:tblW w:w="9102" w:type="dxa"/>
        <w:tblLayout w:type="fixed"/>
        <w:tblLook w:val="04A0" w:firstRow="1" w:lastRow="0" w:firstColumn="1" w:lastColumn="0" w:noHBand="0" w:noVBand="1"/>
        <w:tblDescription w:val="Pripravki in karenčne dobe fitofarmacevtskih sredstev"/>
      </w:tblPr>
      <w:tblGrid>
        <w:gridCol w:w="6868"/>
        <w:gridCol w:w="2234"/>
      </w:tblGrid>
      <w:tr w:rsidR="0011245C" w:rsidRPr="0011245C" w:rsidTr="0011245C">
        <w:trPr>
          <w:trHeight w:val="57"/>
          <w:tblHeader/>
        </w:trPr>
        <w:tc>
          <w:tcPr>
            <w:tcW w:w="6868" w:type="dxa"/>
          </w:tcPr>
          <w:p w:rsidR="0011245C" w:rsidRPr="0011245C" w:rsidRDefault="0011245C" w:rsidP="0011245C">
            <w:pPr>
              <w:pStyle w:val="OBVESTILOTabelaKrepko"/>
            </w:pPr>
            <w:r w:rsidRPr="0011245C">
              <w:t>FUNGICIDI</w:t>
            </w:r>
          </w:p>
        </w:tc>
        <w:tc>
          <w:tcPr>
            <w:tcW w:w="2234" w:type="dxa"/>
          </w:tcPr>
          <w:p w:rsidR="0011245C" w:rsidRPr="0011245C" w:rsidRDefault="0011245C" w:rsidP="0011245C">
            <w:pPr>
              <w:pStyle w:val="OBVESTILOTabelaKrepko"/>
              <w:jc w:val="center"/>
            </w:pPr>
            <w:proofErr w:type="spellStart"/>
            <w:r w:rsidRPr="0011245C">
              <w:t>Karenca</w:t>
            </w:r>
            <w:bookmarkStart w:id="0" w:name="_GoBack"/>
            <w:bookmarkEnd w:id="0"/>
            <w:proofErr w:type="spellEnd"/>
          </w:p>
        </w:tc>
      </w:tr>
      <w:tr w:rsidR="00FE61F2" w:rsidRPr="005B424B" w:rsidTr="0011245C">
        <w:trPr>
          <w:trHeight w:val="57"/>
          <w:tblHeader/>
        </w:trPr>
        <w:tc>
          <w:tcPr>
            <w:tcW w:w="6868" w:type="dxa"/>
            <w:hideMark/>
          </w:tcPr>
          <w:p w:rsidR="00FE61F2" w:rsidRPr="00692B7D" w:rsidRDefault="00FE61F2" w:rsidP="0011245C">
            <w:pPr>
              <w:pStyle w:val="OBVESTILOTabelaBesedilo"/>
              <w:rPr>
                <w:snapToGrid w:val="0"/>
                <w:lang w:val="sl-SI" w:eastAsia="sl-SI" w:bidi="bn-BD"/>
              </w:rPr>
            </w:pPr>
            <w:r w:rsidRPr="00692B7D">
              <w:rPr>
                <w:snapToGrid w:val="0"/>
                <w:lang w:val="sl-SI" w:eastAsia="sl-SI" w:bidi="bn-BD"/>
              </w:rPr>
              <w:t>Zato plus</w:t>
            </w:r>
          </w:p>
        </w:tc>
        <w:tc>
          <w:tcPr>
            <w:tcW w:w="2234" w:type="dxa"/>
            <w:hideMark/>
          </w:tcPr>
          <w:p w:rsidR="00FE61F2" w:rsidRPr="00692B7D" w:rsidRDefault="00FE61F2" w:rsidP="0011245C">
            <w:pPr>
              <w:pStyle w:val="OBVESTILOTabelaBesedilo"/>
              <w:jc w:val="center"/>
              <w:rPr>
                <w:snapToGrid w:val="0"/>
                <w:lang w:val="sl-SI" w:eastAsia="sl-SI" w:bidi="bn-BD"/>
              </w:rPr>
            </w:pPr>
            <w:r w:rsidRPr="00692B7D">
              <w:rPr>
                <w:snapToGrid w:val="0"/>
                <w:lang w:val="sl-SI" w:eastAsia="sl-SI" w:bidi="bn-BD"/>
              </w:rPr>
              <w:t>35</w:t>
            </w:r>
          </w:p>
        </w:tc>
      </w:tr>
      <w:tr w:rsidR="00FE61F2" w:rsidRPr="005B424B" w:rsidTr="0011245C">
        <w:trPr>
          <w:trHeight w:val="57"/>
          <w:tblHeader/>
        </w:trPr>
        <w:tc>
          <w:tcPr>
            <w:tcW w:w="6868" w:type="dxa"/>
            <w:hideMark/>
          </w:tcPr>
          <w:p w:rsidR="00FE61F2" w:rsidRPr="00692B7D" w:rsidRDefault="00FE61F2" w:rsidP="0011245C">
            <w:pPr>
              <w:pStyle w:val="OBVESTILOTabelaBesedilo"/>
              <w:rPr>
                <w:snapToGrid w:val="0"/>
                <w:lang w:val="sl-SI" w:eastAsia="sl-SI" w:bidi="bn-BD"/>
              </w:rPr>
            </w:pPr>
            <w:proofErr w:type="spellStart"/>
            <w:r w:rsidRPr="00692B7D">
              <w:rPr>
                <w:lang w:val="sl-SI" w:eastAsia="sl-SI" w:bidi="bn-BD"/>
              </w:rPr>
              <w:t>Merpan</w:t>
            </w:r>
            <w:proofErr w:type="spellEnd"/>
            <w:r w:rsidRPr="00692B7D">
              <w:rPr>
                <w:lang w:val="sl-SI" w:eastAsia="sl-SI" w:bidi="bn-BD"/>
              </w:rPr>
              <w:t xml:space="preserve"> 80 WDG, </w:t>
            </w:r>
            <w:proofErr w:type="spellStart"/>
            <w:r w:rsidRPr="00692B7D">
              <w:rPr>
                <w:lang w:val="sl-SI" w:eastAsia="sl-SI" w:bidi="bn-BD"/>
              </w:rPr>
              <w:t>Orthocide</w:t>
            </w:r>
            <w:proofErr w:type="spellEnd"/>
            <w:r w:rsidRPr="00692B7D">
              <w:rPr>
                <w:lang w:val="sl-SI" w:eastAsia="sl-SI" w:bidi="bn-BD"/>
              </w:rPr>
              <w:t xml:space="preserve"> 80 WG, </w:t>
            </w:r>
            <w:proofErr w:type="spellStart"/>
            <w:r w:rsidRPr="00692B7D">
              <w:rPr>
                <w:lang w:val="sl-SI" w:eastAsia="sl-SI" w:bidi="bn-BD"/>
              </w:rPr>
              <w:t>Merplus</w:t>
            </w:r>
            <w:proofErr w:type="spellEnd"/>
          </w:p>
        </w:tc>
        <w:tc>
          <w:tcPr>
            <w:tcW w:w="2234" w:type="dxa"/>
            <w:hideMark/>
          </w:tcPr>
          <w:p w:rsidR="00FE61F2" w:rsidRPr="00692B7D" w:rsidRDefault="00FE61F2" w:rsidP="0011245C">
            <w:pPr>
              <w:pStyle w:val="OBVESTILOTabelaBesedilo"/>
              <w:jc w:val="center"/>
              <w:rPr>
                <w:snapToGrid w:val="0"/>
                <w:lang w:val="sl-SI" w:eastAsia="sl-SI" w:bidi="bn-BD"/>
              </w:rPr>
            </w:pPr>
            <w:r w:rsidRPr="00692B7D">
              <w:rPr>
                <w:snapToGrid w:val="0"/>
                <w:lang w:val="sl-SI" w:eastAsia="sl-SI" w:bidi="bn-BD"/>
              </w:rPr>
              <w:t>28</w:t>
            </w:r>
          </w:p>
        </w:tc>
      </w:tr>
      <w:tr w:rsidR="00FE61F2" w:rsidRPr="005B424B" w:rsidTr="0011245C">
        <w:trPr>
          <w:trHeight w:val="57"/>
          <w:tblHeader/>
        </w:trPr>
        <w:tc>
          <w:tcPr>
            <w:tcW w:w="6868" w:type="dxa"/>
            <w:hideMark/>
          </w:tcPr>
          <w:p w:rsidR="00FE61F2" w:rsidRPr="00692B7D" w:rsidRDefault="00FE61F2" w:rsidP="0011245C">
            <w:pPr>
              <w:pStyle w:val="OBVESTILOTabelaBesedilo"/>
              <w:rPr>
                <w:snapToGrid w:val="0"/>
                <w:lang w:val="sl-SI" w:eastAsia="sl-SI" w:bidi="bn-BD"/>
              </w:rPr>
            </w:pPr>
            <w:r w:rsidRPr="00692B7D">
              <w:rPr>
                <w:lang w:val="sl-SI" w:eastAsia="sl-SI" w:bidi="bn-BD"/>
              </w:rPr>
              <w:t>Zato 50 WG</w:t>
            </w:r>
          </w:p>
        </w:tc>
        <w:tc>
          <w:tcPr>
            <w:tcW w:w="2234" w:type="dxa"/>
            <w:hideMark/>
          </w:tcPr>
          <w:p w:rsidR="00FE61F2" w:rsidRPr="00692B7D" w:rsidRDefault="00FE61F2" w:rsidP="0011245C">
            <w:pPr>
              <w:pStyle w:val="OBVESTILOTabelaBesedilo"/>
              <w:jc w:val="center"/>
              <w:rPr>
                <w:snapToGrid w:val="0"/>
                <w:lang w:val="sl-SI" w:eastAsia="sl-SI" w:bidi="bn-BD"/>
              </w:rPr>
            </w:pPr>
            <w:r w:rsidRPr="00692B7D">
              <w:rPr>
                <w:snapToGrid w:val="0"/>
                <w:lang w:val="sl-SI" w:eastAsia="sl-SI" w:bidi="bn-BD"/>
              </w:rPr>
              <w:t>21</w:t>
            </w:r>
          </w:p>
        </w:tc>
      </w:tr>
      <w:tr w:rsidR="00FE61F2" w:rsidRPr="0011245C" w:rsidTr="0011245C">
        <w:trPr>
          <w:trHeight w:val="57"/>
          <w:tblHeader/>
        </w:trPr>
        <w:tc>
          <w:tcPr>
            <w:tcW w:w="6868" w:type="dxa"/>
            <w:hideMark/>
          </w:tcPr>
          <w:p w:rsidR="00FE61F2" w:rsidRPr="0011245C" w:rsidRDefault="00FE61F2" w:rsidP="0011245C">
            <w:pPr>
              <w:pStyle w:val="OBVESTILOTabelaKrepko"/>
            </w:pPr>
            <w:r w:rsidRPr="0011245C">
              <w:t>INSEKTICIDI</w:t>
            </w:r>
          </w:p>
        </w:tc>
        <w:tc>
          <w:tcPr>
            <w:tcW w:w="2234" w:type="dxa"/>
          </w:tcPr>
          <w:p w:rsidR="00FE61F2" w:rsidRPr="0011245C" w:rsidRDefault="0011245C" w:rsidP="0011245C">
            <w:pPr>
              <w:pStyle w:val="OBVESTILOTabelaKrepko"/>
              <w:jc w:val="center"/>
            </w:pPr>
            <w:proofErr w:type="spellStart"/>
            <w:r w:rsidRPr="0011245C">
              <w:t>Karenca</w:t>
            </w:r>
            <w:proofErr w:type="spellEnd"/>
          </w:p>
        </w:tc>
      </w:tr>
      <w:tr w:rsidR="00FE61F2" w:rsidRPr="005B424B" w:rsidTr="0011245C">
        <w:trPr>
          <w:trHeight w:val="57"/>
          <w:tblHeader/>
        </w:trPr>
        <w:tc>
          <w:tcPr>
            <w:tcW w:w="6868" w:type="dxa"/>
            <w:hideMark/>
          </w:tcPr>
          <w:p w:rsidR="00FE61F2" w:rsidRPr="00692B7D" w:rsidRDefault="005E1D34" w:rsidP="0011245C">
            <w:pPr>
              <w:pStyle w:val="OBVESTILOTabelaBesedilo"/>
              <w:rPr>
                <w:lang w:val="it-IT" w:eastAsia="sl-SI" w:bidi="bn-BD"/>
              </w:rPr>
            </w:pPr>
            <w:proofErr w:type="spellStart"/>
            <w:r>
              <w:rPr>
                <w:lang w:val="sl-SI" w:eastAsia="sl-SI" w:bidi="bn-BD"/>
              </w:rPr>
              <w:t>Coragen</w:t>
            </w:r>
            <w:proofErr w:type="spellEnd"/>
            <w:r>
              <w:rPr>
                <w:lang w:val="sl-SI" w:eastAsia="sl-SI" w:bidi="bn-BD"/>
              </w:rPr>
              <w:t xml:space="preserve">, </w:t>
            </w:r>
            <w:r w:rsidR="00FE61F2" w:rsidRPr="00692B7D">
              <w:rPr>
                <w:lang w:val="sl-SI" w:eastAsia="sl-SI" w:bidi="bn-BD"/>
              </w:rPr>
              <w:t xml:space="preserve">Mimic, </w:t>
            </w:r>
            <w:proofErr w:type="spellStart"/>
            <w:r w:rsidR="00FE61F2" w:rsidRPr="00692B7D">
              <w:rPr>
                <w:lang w:val="sl-SI" w:eastAsia="sl-SI" w:bidi="bn-BD"/>
              </w:rPr>
              <w:t>Mospilan</w:t>
            </w:r>
            <w:proofErr w:type="spellEnd"/>
            <w:r w:rsidR="00FE61F2" w:rsidRPr="00692B7D">
              <w:rPr>
                <w:lang w:val="sl-SI" w:eastAsia="sl-SI" w:bidi="bn-BD"/>
              </w:rPr>
              <w:t xml:space="preserve"> 20 SG</w:t>
            </w:r>
          </w:p>
        </w:tc>
        <w:tc>
          <w:tcPr>
            <w:tcW w:w="2234" w:type="dxa"/>
            <w:hideMark/>
          </w:tcPr>
          <w:p w:rsidR="00FE61F2" w:rsidRPr="00692B7D" w:rsidRDefault="00FE61F2" w:rsidP="0011245C">
            <w:pPr>
              <w:pStyle w:val="OBVESTILOTabelaBesedilo"/>
              <w:jc w:val="center"/>
              <w:rPr>
                <w:snapToGrid w:val="0"/>
                <w:lang w:val="sl-SI" w:eastAsia="sl-SI" w:bidi="bn-BD"/>
              </w:rPr>
            </w:pPr>
            <w:r w:rsidRPr="00692B7D">
              <w:rPr>
                <w:snapToGrid w:val="0"/>
                <w:lang w:val="sl-SI" w:eastAsia="sl-SI" w:bidi="bn-BD"/>
              </w:rPr>
              <w:t>14</w:t>
            </w:r>
          </w:p>
        </w:tc>
      </w:tr>
      <w:tr w:rsidR="00FE61F2" w:rsidRPr="005B424B" w:rsidTr="0011245C">
        <w:trPr>
          <w:trHeight w:val="57"/>
          <w:tblHeader/>
        </w:trPr>
        <w:tc>
          <w:tcPr>
            <w:tcW w:w="6868" w:type="dxa"/>
            <w:hideMark/>
          </w:tcPr>
          <w:p w:rsidR="00FE61F2" w:rsidRPr="00692B7D" w:rsidRDefault="00FE61F2" w:rsidP="0011245C">
            <w:pPr>
              <w:pStyle w:val="OBVESTILOTabelaBesedilo"/>
              <w:rPr>
                <w:snapToGrid w:val="0"/>
                <w:lang w:val="sl-SI" w:eastAsia="sl-SI" w:bidi="bn-BD"/>
              </w:rPr>
            </w:pPr>
            <w:r w:rsidRPr="00692B7D">
              <w:rPr>
                <w:lang w:val="it-IT" w:eastAsia="sl-SI" w:bidi="bn-BD"/>
              </w:rPr>
              <w:t xml:space="preserve">Affirm, Affirm opti, Delegate 250 WG, </w:t>
            </w:r>
            <w:r w:rsidRPr="00692B7D">
              <w:rPr>
                <w:lang w:val="sl-SI" w:eastAsia="sl-SI" w:bidi="bn-BD"/>
              </w:rPr>
              <w:t>Laser plus</w:t>
            </w:r>
          </w:p>
        </w:tc>
        <w:tc>
          <w:tcPr>
            <w:tcW w:w="2234" w:type="dxa"/>
            <w:hideMark/>
          </w:tcPr>
          <w:p w:rsidR="00FE61F2" w:rsidRPr="00692B7D" w:rsidRDefault="00FE61F2" w:rsidP="0011245C">
            <w:pPr>
              <w:pStyle w:val="OBVESTILOTabelaBesedilo"/>
              <w:jc w:val="center"/>
              <w:rPr>
                <w:snapToGrid w:val="0"/>
                <w:lang w:val="sl-SI" w:eastAsia="sl-SI" w:bidi="bn-BD"/>
              </w:rPr>
            </w:pPr>
            <w:r w:rsidRPr="00692B7D">
              <w:rPr>
                <w:snapToGrid w:val="0"/>
                <w:lang w:val="sl-SI" w:eastAsia="sl-SI" w:bidi="bn-BD"/>
              </w:rPr>
              <w:t>7</w:t>
            </w:r>
          </w:p>
        </w:tc>
      </w:tr>
    </w:tbl>
    <w:p w:rsidR="00D428C8" w:rsidRPr="0011245C" w:rsidRDefault="00D428C8" w:rsidP="0011245C">
      <w:pPr>
        <w:pStyle w:val="Heading2"/>
      </w:pPr>
      <w:proofErr w:type="spellStart"/>
      <w:r w:rsidRPr="0011245C">
        <w:t>Hrušev</w:t>
      </w:r>
      <w:proofErr w:type="spellEnd"/>
      <w:r w:rsidRPr="0011245C">
        <w:t xml:space="preserve"> </w:t>
      </w:r>
      <w:proofErr w:type="spellStart"/>
      <w:r w:rsidRPr="0011245C">
        <w:t>ožig</w:t>
      </w:r>
      <w:proofErr w:type="spellEnd"/>
    </w:p>
    <w:p w:rsidR="00B8102B" w:rsidRDefault="00B8102B" w:rsidP="0011245C">
      <w:pPr>
        <w:rPr>
          <w:lang w:val="sl-SI" w:eastAsia="sl-SI"/>
        </w:rPr>
      </w:pPr>
      <w:r w:rsidRPr="00EC5A09">
        <w:rPr>
          <w:lang w:val="sl-SI" w:eastAsia="sl-SI"/>
        </w:rPr>
        <w:t xml:space="preserve">Redno pregledujte nasade jablan in hrušk ter travniške sadovnjake na prisotnost bakterije </w:t>
      </w:r>
      <w:proofErr w:type="spellStart"/>
      <w:r w:rsidRPr="00EC5A09">
        <w:rPr>
          <w:i/>
          <w:iCs/>
          <w:lang w:val="sl-SI" w:eastAsia="sl-SI"/>
        </w:rPr>
        <w:t>Erwinia</w:t>
      </w:r>
      <w:proofErr w:type="spellEnd"/>
      <w:r w:rsidRPr="00EC5A09">
        <w:rPr>
          <w:i/>
          <w:iCs/>
          <w:lang w:val="sl-SI" w:eastAsia="sl-SI"/>
        </w:rPr>
        <w:t xml:space="preserve"> </w:t>
      </w:r>
      <w:proofErr w:type="spellStart"/>
      <w:r w:rsidRPr="00EC5A09">
        <w:rPr>
          <w:i/>
          <w:iCs/>
          <w:lang w:val="sl-SI" w:eastAsia="sl-SI"/>
        </w:rPr>
        <w:t>amylovora</w:t>
      </w:r>
      <w:proofErr w:type="spellEnd"/>
      <w:r w:rsidRPr="00EC5A09">
        <w:rPr>
          <w:lang w:val="sl-SI" w:eastAsia="sl-SI"/>
        </w:rPr>
        <w:t>, povzročiteljice hruševega ožiga. Poleg nasadov pregledujte tudi okolico, kjer se nahajajo okrasne in samonikle rastline, ki so gostiteljice hruševega ožiga (glog, panešplja, ognjeni trn, jerebika, šmarna hrušica…). V primeru suma na okužbo s hruševim ožigom obvestite fitosanitarno inšpekcijo ali javno službo za varstvo rastlin na Inštitutu za hmeljarstvo in pivovarstvo Slovenije v Žalcu (03 71 21 600).</w:t>
      </w:r>
      <w:r w:rsidRPr="00B8102B">
        <w:rPr>
          <w:lang w:val="sl-SI" w:eastAsia="sl-SI"/>
        </w:rPr>
        <w:t xml:space="preserve"> </w:t>
      </w:r>
    </w:p>
    <w:p w:rsidR="00C42F52" w:rsidRPr="0011245C" w:rsidRDefault="00DE0824" w:rsidP="0011245C">
      <w:pPr>
        <w:pStyle w:val="Heading2"/>
      </w:pPr>
      <w:proofErr w:type="spellStart"/>
      <w:r w:rsidRPr="0011245C">
        <w:t>Toča</w:t>
      </w:r>
      <w:proofErr w:type="spellEnd"/>
    </w:p>
    <w:p w:rsidR="00DE0824" w:rsidRPr="00E86175" w:rsidRDefault="00E86175" w:rsidP="0011245C">
      <w:pPr>
        <w:rPr>
          <w:lang w:val="sl-SI"/>
        </w:rPr>
      </w:pPr>
      <w:r w:rsidRPr="00E86175">
        <w:rPr>
          <w:lang w:val="sl-SI"/>
        </w:rPr>
        <w:t xml:space="preserve">V primeru toče takoj opravite škropljenje s pripravki, ki vsebujejo aktivno snov </w:t>
      </w:r>
      <w:proofErr w:type="spellStart"/>
      <w:r w:rsidRPr="00E86175">
        <w:rPr>
          <w:lang w:val="sl-SI"/>
        </w:rPr>
        <w:t>kaptan</w:t>
      </w:r>
      <w:proofErr w:type="spellEnd"/>
      <w:r w:rsidRPr="00E86175">
        <w:rPr>
          <w:lang w:val="sl-SI"/>
        </w:rPr>
        <w:t xml:space="preserve"> kot so: </w:t>
      </w:r>
      <w:proofErr w:type="spellStart"/>
      <w:r w:rsidRPr="00E86175">
        <w:rPr>
          <w:lang w:val="sl-SI"/>
        </w:rPr>
        <w:t>Merpan</w:t>
      </w:r>
      <w:proofErr w:type="spellEnd"/>
      <w:r w:rsidRPr="00E86175">
        <w:rPr>
          <w:lang w:val="sl-SI"/>
        </w:rPr>
        <w:t xml:space="preserve"> 80 WDG, </w:t>
      </w:r>
      <w:proofErr w:type="spellStart"/>
      <w:r w:rsidRPr="00E86175">
        <w:rPr>
          <w:lang w:val="sl-SI"/>
        </w:rPr>
        <w:t>Orthocide</w:t>
      </w:r>
      <w:proofErr w:type="spellEnd"/>
      <w:r w:rsidRPr="00E86175">
        <w:rPr>
          <w:lang w:val="sl-SI"/>
        </w:rPr>
        <w:t xml:space="preserve"> 80 WG ali </w:t>
      </w:r>
      <w:proofErr w:type="spellStart"/>
      <w:r w:rsidRPr="00E86175">
        <w:rPr>
          <w:lang w:val="sl-SI"/>
        </w:rPr>
        <w:t>Merplus</w:t>
      </w:r>
      <w:proofErr w:type="spellEnd"/>
      <w:r w:rsidRPr="00E86175">
        <w:rPr>
          <w:lang w:val="sl-SI"/>
        </w:rPr>
        <w:t>.</w:t>
      </w:r>
    </w:p>
    <w:sectPr w:rsidR="00DE0824" w:rsidRPr="00E86175" w:rsidSect="00B42E98">
      <w:headerReference w:type="default" r:id="rId10"/>
      <w:footerReference w:type="default" r:id="rId11"/>
      <w:pgSz w:w="11906" w:h="16838"/>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33B8" w:rsidRDefault="008A33B8" w:rsidP="006A44C7">
      <w:pPr>
        <w:spacing w:before="0" w:after="0"/>
      </w:pPr>
      <w:r>
        <w:separator/>
      </w:r>
    </w:p>
  </w:endnote>
  <w:endnote w:type="continuationSeparator" w:id="0">
    <w:p w:rsidR="008A33B8" w:rsidRDefault="008A33B8" w:rsidP="006A44C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232" w:rsidRPr="00484EC1" w:rsidRDefault="00887232" w:rsidP="00484EC1">
    <w:pPr>
      <w:pStyle w:val="Footer"/>
    </w:pPr>
    <w:proofErr w:type="spellStart"/>
    <w:r w:rsidRPr="00484EC1">
      <w:t>Obvestila</w:t>
    </w:r>
    <w:proofErr w:type="spellEnd"/>
    <w:r w:rsidRPr="00484EC1">
      <w:t xml:space="preserve"> </w:t>
    </w:r>
    <w:proofErr w:type="spellStart"/>
    <w:r w:rsidR="00AE2E6E">
      <w:t>sadjarjem</w:t>
    </w:r>
    <w:proofErr w:type="spellEnd"/>
    <w:r w:rsidRPr="00484EC1">
      <w:t xml:space="preserve">, </w:t>
    </w:r>
    <w:r w:rsidR="003E7378">
      <w:t>30</w:t>
    </w:r>
    <w:r w:rsidRPr="00484EC1">
      <w:t xml:space="preserve"> (2021) </w:t>
    </w:r>
    <w:r w:rsidR="0004271D">
      <w:t>18</w:t>
    </w:r>
    <w:r w:rsidRPr="00484EC1">
      <w:t>, s.</w:t>
    </w:r>
    <w:r w:rsidR="007670FB" w:rsidRPr="00484EC1">
      <w:t xml:space="preserve"> </w:t>
    </w:r>
    <w:r w:rsidR="00484EC1" w:rsidRPr="00484EC1">
      <w:fldChar w:fldCharType="begin"/>
    </w:r>
    <w:r w:rsidR="00484EC1" w:rsidRPr="00484EC1">
      <w:instrText xml:space="preserve"> PAGE  \* Arabic  \* MERGEFORMAT </w:instrText>
    </w:r>
    <w:r w:rsidR="00484EC1" w:rsidRPr="00484EC1">
      <w:fldChar w:fldCharType="separate"/>
    </w:r>
    <w:r w:rsidR="0011245C">
      <w:rPr>
        <w:noProof/>
      </w:rPr>
      <w:t>1</w:t>
    </w:r>
    <w:r w:rsidR="00484EC1" w:rsidRPr="00484EC1">
      <w:fldChar w:fldCharType="end"/>
    </w:r>
    <w:r w:rsidR="00484EC1" w:rsidRPr="00484EC1">
      <w:t>/</w:t>
    </w:r>
    <w:r w:rsidR="00461A11">
      <w:rPr>
        <w:noProof/>
      </w:rPr>
      <w:fldChar w:fldCharType="begin"/>
    </w:r>
    <w:r w:rsidR="00461A11">
      <w:rPr>
        <w:noProof/>
      </w:rPr>
      <w:instrText xml:space="preserve"> NUMPAGES  \* Arabic  \* MERGEFORMAT </w:instrText>
    </w:r>
    <w:r w:rsidR="00461A11">
      <w:rPr>
        <w:noProof/>
      </w:rPr>
      <w:fldChar w:fldCharType="separate"/>
    </w:r>
    <w:r w:rsidR="0011245C">
      <w:rPr>
        <w:noProof/>
      </w:rPr>
      <w:t>2</w:t>
    </w:r>
    <w:r w:rsidR="00461A11">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33B8" w:rsidRDefault="008A33B8" w:rsidP="006A44C7">
      <w:pPr>
        <w:spacing w:before="0" w:after="0"/>
      </w:pPr>
      <w:r>
        <w:separator/>
      </w:r>
    </w:p>
  </w:footnote>
  <w:footnote w:type="continuationSeparator" w:id="0">
    <w:p w:rsidR="008A33B8" w:rsidRDefault="008A33B8" w:rsidP="006A44C7">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4C7" w:rsidRPr="00C5388D" w:rsidRDefault="006A44C7" w:rsidP="006A44C7">
    <w:pPr>
      <w:pStyle w:val="Heading1"/>
      <w:numPr>
        <w:ilvl w:val="0"/>
        <w:numId w:val="0"/>
      </w:numPr>
      <w:rPr>
        <w:lang w:val="sl-SI"/>
      </w:rPr>
    </w:pPr>
    <w:r w:rsidRPr="00C5388D">
      <w:rPr>
        <w:lang w:val="sl-SI"/>
      </w:rPr>
      <w:t xml:space="preserve">Obvestila </w:t>
    </w:r>
    <w:r w:rsidR="003E7378">
      <w:rPr>
        <w:lang w:val="sl-SI"/>
      </w:rPr>
      <w:t>sadjarjem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E05BEC"/>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CBB7353"/>
    <w:multiLevelType w:val="hybridMultilevel"/>
    <w:tmpl w:val="1EB672E6"/>
    <w:lvl w:ilvl="0" w:tplc="0DF4CB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D47B7A"/>
    <w:multiLevelType w:val="multilevel"/>
    <w:tmpl w:val="587ADB1A"/>
    <w:lvl w:ilvl="0">
      <w:start w:val="1"/>
      <w:numFmt w:val="none"/>
      <w:pStyle w:val="Heading1"/>
      <w:lvlText w:val=""/>
      <w:lvlJc w:val="left"/>
      <w:pPr>
        <w:ind w:left="432" w:hanging="432"/>
      </w:pPr>
      <w:rPr>
        <w:rFonts w:hint="default"/>
      </w:rPr>
    </w:lvl>
    <w:lvl w:ilvl="1">
      <w:start w:val="1"/>
      <w:numFmt w:val="none"/>
      <w:suff w:val="nothing"/>
      <w:lvlText w:val=""/>
      <w:lvlJc w:val="left"/>
      <w:pPr>
        <w:ind w:left="0" w:firstLine="0"/>
      </w:pPr>
      <w:rPr>
        <w:rFonts w:hint="default"/>
      </w:rPr>
    </w:lvl>
    <w:lvl w:ilvl="2">
      <w:start w:val="1"/>
      <w:numFmt w:val="decimal"/>
      <w:pStyle w:val="Heading3"/>
      <w:lvlText w:val="%2%3"/>
      <w:lvlJc w:val="left"/>
      <w:pPr>
        <w:ind w:left="720" w:hanging="720"/>
      </w:pPr>
      <w:rPr>
        <w:rFonts w:hint="default"/>
      </w:rPr>
    </w:lvl>
    <w:lvl w:ilvl="3">
      <w:start w:val="1"/>
      <w:numFmt w:val="decimal"/>
      <w:pStyle w:val="Heading4"/>
      <w:lvlText w:val="%2.%3.%4"/>
      <w:lvlJc w:val="left"/>
      <w:pPr>
        <w:ind w:left="864" w:hanging="864"/>
      </w:pPr>
      <w:rPr>
        <w:rFonts w:hint="default"/>
      </w:rPr>
    </w:lvl>
    <w:lvl w:ilvl="4">
      <w:start w:val="1"/>
      <w:numFmt w:val="decimal"/>
      <w:pStyle w:val="Heading5"/>
      <w:lvlText w:val="%2.%3.%4.%5"/>
      <w:lvlJc w:val="left"/>
      <w:pPr>
        <w:ind w:left="1008" w:hanging="1008"/>
      </w:pPr>
      <w:rPr>
        <w:rFonts w:hint="default"/>
      </w:rPr>
    </w:lvl>
    <w:lvl w:ilvl="5">
      <w:start w:val="1"/>
      <w:numFmt w:val="decimal"/>
      <w:pStyle w:val="Heading6"/>
      <w:lvlText w:val="%1.%2.%3.%4.%5.%6"/>
      <w:lvlJc w:val="left"/>
      <w:pPr>
        <w:ind w:left="753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0"/>
  </w:num>
  <w:num w:numId="10">
    <w:abstractNumId w:val="2"/>
    <w:lvlOverride w:ilvl="0">
      <w:lvl w:ilvl="0">
        <w:start w:val="1"/>
        <w:numFmt w:val="none"/>
        <w:pStyle w:val="Heading1"/>
        <w:lvlText w:val=""/>
        <w:lvlJc w:val="left"/>
        <w:pPr>
          <w:ind w:left="432" w:hanging="432"/>
        </w:pPr>
        <w:rPr>
          <w:rFonts w:hint="default"/>
        </w:rPr>
      </w:lvl>
    </w:lvlOverride>
    <w:lvlOverride w:ilvl="1">
      <w:lvl w:ilvl="1">
        <w:start w:val="1"/>
        <w:numFmt w:val="decimal"/>
        <w:lvlText w:val="%2."/>
        <w:lvlJc w:val="left"/>
        <w:pPr>
          <w:ind w:left="576" w:hanging="576"/>
        </w:pPr>
        <w:rPr>
          <w:rFonts w:hint="default"/>
        </w:rPr>
      </w:lvl>
    </w:lvlOverride>
    <w:lvlOverride w:ilvl="2">
      <w:lvl w:ilvl="2">
        <w:start w:val="1"/>
        <w:numFmt w:val="decimal"/>
        <w:pStyle w:val="Heading3"/>
        <w:lvlText w:val="%2.%3"/>
        <w:lvlJc w:val="left"/>
        <w:pPr>
          <w:ind w:left="720" w:hanging="720"/>
        </w:pPr>
        <w:rPr>
          <w:rFonts w:hint="default"/>
        </w:rPr>
      </w:lvl>
    </w:lvlOverride>
    <w:lvlOverride w:ilvl="3">
      <w:lvl w:ilvl="3">
        <w:start w:val="1"/>
        <w:numFmt w:val="decimal"/>
        <w:pStyle w:val="Heading4"/>
        <w:lvlText w:val="%2.%3.%4"/>
        <w:lvlJc w:val="left"/>
        <w:pPr>
          <w:ind w:left="864" w:hanging="864"/>
        </w:pPr>
        <w:rPr>
          <w:rFonts w:hint="default"/>
        </w:rPr>
      </w:lvl>
    </w:lvlOverride>
    <w:lvlOverride w:ilvl="4">
      <w:lvl w:ilvl="4">
        <w:start w:val="1"/>
        <w:numFmt w:val="decimal"/>
        <w:pStyle w:val="Heading5"/>
        <w:lvlText w:val="%2.%3.%4.%5"/>
        <w:lvlJc w:val="left"/>
        <w:pPr>
          <w:ind w:left="1008" w:hanging="1008"/>
        </w:pPr>
        <w:rPr>
          <w:rFonts w:hint="default"/>
        </w:rPr>
      </w:lvl>
    </w:lvlOverride>
    <w:lvlOverride w:ilvl="5">
      <w:lvl w:ilvl="5">
        <w:start w:val="1"/>
        <w:numFmt w:val="decimal"/>
        <w:pStyle w:val="Heading6"/>
        <w:lvlText w:val="%1.%2.%3.%4.%5.%6"/>
        <w:lvlJc w:val="left"/>
        <w:pPr>
          <w:ind w:left="753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88D"/>
    <w:rsid w:val="000137EE"/>
    <w:rsid w:val="00014FD2"/>
    <w:rsid w:val="00026981"/>
    <w:rsid w:val="0004271D"/>
    <w:rsid w:val="00080137"/>
    <w:rsid w:val="000B0AF2"/>
    <w:rsid w:val="000C333F"/>
    <w:rsid w:val="000F24B0"/>
    <w:rsid w:val="0011245C"/>
    <w:rsid w:val="00131E83"/>
    <w:rsid w:val="0013528F"/>
    <w:rsid w:val="00142DB9"/>
    <w:rsid w:val="00192E67"/>
    <w:rsid w:val="001B11FA"/>
    <w:rsid w:val="001B17B0"/>
    <w:rsid w:val="001B6FD8"/>
    <w:rsid w:val="001E044F"/>
    <w:rsid w:val="00207702"/>
    <w:rsid w:val="0021654A"/>
    <w:rsid w:val="002352EA"/>
    <w:rsid w:val="00271D19"/>
    <w:rsid w:val="0029651D"/>
    <w:rsid w:val="002A5E8B"/>
    <w:rsid w:val="002A7E48"/>
    <w:rsid w:val="002B53E9"/>
    <w:rsid w:val="002C763B"/>
    <w:rsid w:val="002E186B"/>
    <w:rsid w:val="003004B8"/>
    <w:rsid w:val="00311A38"/>
    <w:rsid w:val="00337CDC"/>
    <w:rsid w:val="0034106E"/>
    <w:rsid w:val="00347158"/>
    <w:rsid w:val="00370B11"/>
    <w:rsid w:val="003A43BE"/>
    <w:rsid w:val="003A5AF6"/>
    <w:rsid w:val="003A5DAE"/>
    <w:rsid w:val="003B5F97"/>
    <w:rsid w:val="003E7378"/>
    <w:rsid w:val="003F1717"/>
    <w:rsid w:val="004140B1"/>
    <w:rsid w:val="00431D59"/>
    <w:rsid w:val="004346C6"/>
    <w:rsid w:val="00436767"/>
    <w:rsid w:val="00436AC3"/>
    <w:rsid w:val="004558DB"/>
    <w:rsid w:val="00461A11"/>
    <w:rsid w:val="00461F0A"/>
    <w:rsid w:val="0046494A"/>
    <w:rsid w:val="00470463"/>
    <w:rsid w:val="004834BF"/>
    <w:rsid w:val="00484EC1"/>
    <w:rsid w:val="00494A4B"/>
    <w:rsid w:val="004D1EE2"/>
    <w:rsid w:val="004E2FCB"/>
    <w:rsid w:val="004F4B8E"/>
    <w:rsid w:val="005221B6"/>
    <w:rsid w:val="0052521B"/>
    <w:rsid w:val="005342EE"/>
    <w:rsid w:val="00541B3E"/>
    <w:rsid w:val="005577F9"/>
    <w:rsid w:val="00583E37"/>
    <w:rsid w:val="005B424B"/>
    <w:rsid w:val="005C3957"/>
    <w:rsid w:val="005D26CE"/>
    <w:rsid w:val="005D6AFB"/>
    <w:rsid w:val="005E1D34"/>
    <w:rsid w:val="00601619"/>
    <w:rsid w:val="00602B8E"/>
    <w:rsid w:val="00602F29"/>
    <w:rsid w:val="0060369B"/>
    <w:rsid w:val="00631C75"/>
    <w:rsid w:val="006448FB"/>
    <w:rsid w:val="0065138B"/>
    <w:rsid w:val="00692B7D"/>
    <w:rsid w:val="006A44C7"/>
    <w:rsid w:val="006D7083"/>
    <w:rsid w:val="006E019A"/>
    <w:rsid w:val="007049A9"/>
    <w:rsid w:val="0071353C"/>
    <w:rsid w:val="007174FA"/>
    <w:rsid w:val="00743F78"/>
    <w:rsid w:val="007670FB"/>
    <w:rsid w:val="007B0B7B"/>
    <w:rsid w:val="0080711F"/>
    <w:rsid w:val="0082612C"/>
    <w:rsid w:val="0084448C"/>
    <w:rsid w:val="0086160D"/>
    <w:rsid w:val="00863B28"/>
    <w:rsid w:val="0087008C"/>
    <w:rsid w:val="008756F2"/>
    <w:rsid w:val="00883038"/>
    <w:rsid w:val="00887232"/>
    <w:rsid w:val="008A33B8"/>
    <w:rsid w:val="008B00DA"/>
    <w:rsid w:val="008D3426"/>
    <w:rsid w:val="008F596E"/>
    <w:rsid w:val="0091139C"/>
    <w:rsid w:val="009229F9"/>
    <w:rsid w:val="0092605E"/>
    <w:rsid w:val="00943AF7"/>
    <w:rsid w:val="00966506"/>
    <w:rsid w:val="00967FE0"/>
    <w:rsid w:val="009A5C11"/>
    <w:rsid w:val="009B1C63"/>
    <w:rsid w:val="009D3C1B"/>
    <w:rsid w:val="00A37D34"/>
    <w:rsid w:val="00A510BC"/>
    <w:rsid w:val="00A519F9"/>
    <w:rsid w:val="00A51B49"/>
    <w:rsid w:val="00A56106"/>
    <w:rsid w:val="00A62C89"/>
    <w:rsid w:val="00A72756"/>
    <w:rsid w:val="00A85C1A"/>
    <w:rsid w:val="00A92AAC"/>
    <w:rsid w:val="00A93E3C"/>
    <w:rsid w:val="00AA23F3"/>
    <w:rsid w:val="00AA6D8C"/>
    <w:rsid w:val="00AE2E6E"/>
    <w:rsid w:val="00AF1841"/>
    <w:rsid w:val="00AF7E8B"/>
    <w:rsid w:val="00B12DBF"/>
    <w:rsid w:val="00B228E9"/>
    <w:rsid w:val="00B2525A"/>
    <w:rsid w:val="00B27459"/>
    <w:rsid w:val="00B363C4"/>
    <w:rsid w:val="00B42E98"/>
    <w:rsid w:val="00B539B5"/>
    <w:rsid w:val="00B60322"/>
    <w:rsid w:val="00B62ABE"/>
    <w:rsid w:val="00B8102B"/>
    <w:rsid w:val="00BC218C"/>
    <w:rsid w:val="00BC79FA"/>
    <w:rsid w:val="00BE433A"/>
    <w:rsid w:val="00BE45F5"/>
    <w:rsid w:val="00BF3173"/>
    <w:rsid w:val="00BF371B"/>
    <w:rsid w:val="00C22D3C"/>
    <w:rsid w:val="00C2692F"/>
    <w:rsid w:val="00C32986"/>
    <w:rsid w:val="00C42F52"/>
    <w:rsid w:val="00C45D2D"/>
    <w:rsid w:val="00C5180A"/>
    <w:rsid w:val="00C5388D"/>
    <w:rsid w:val="00C5743A"/>
    <w:rsid w:val="00C63BDD"/>
    <w:rsid w:val="00C64CB8"/>
    <w:rsid w:val="00C8662E"/>
    <w:rsid w:val="00C967F8"/>
    <w:rsid w:val="00CA3556"/>
    <w:rsid w:val="00CD252C"/>
    <w:rsid w:val="00CD2F28"/>
    <w:rsid w:val="00CF224D"/>
    <w:rsid w:val="00D040CC"/>
    <w:rsid w:val="00D14170"/>
    <w:rsid w:val="00D22A1D"/>
    <w:rsid w:val="00D36818"/>
    <w:rsid w:val="00D428C8"/>
    <w:rsid w:val="00D60D45"/>
    <w:rsid w:val="00D85DD9"/>
    <w:rsid w:val="00D87D23"/>
    <w:rsid w:val="00DA356B"/>
    <w:rsid w:val="00DC11AD"/>
    <w:rsid w:val="00DD24D3"/>
    <w:rsid w:val="00DD2990"/>
    <w:rsid w:val="00DE0824"/>
    <w:rsid w:val="00DE3FB5"/>
    <w:rsid w:val="00DE4761"/>
    <w:rsid w:val="00E4294B"/>
    <w:rsid w:val="00E6426F"/>
    <w:rsid w:val="00E65762"/>
    <w:rsid w:val="00E66C7C"/>
    <w:rsid w:val="00E86175"/>
    <w:rsid w:val="00EA3544"/>
    <w:rsid w:val="00EA4FD8"/>
    <w:rsid w:val="00EB34A3"/>
    <w:rsid w:val="00EC17D2"/>
    <w:rsid w:val="00EC35F8"/>
    <w:rsid w:val="00EC5A09"/>
    <w:rsid w:val="00ED2CD4"/>
    <w:rsid w:val="00EF53BC"/>
    <w:rsid w:val="00EF5D7B"/>
    <w:rsid w:val="00F01E9D"/>
    <w:rsid w:val="00F027E8"/>
    <w:rsid w:val="00F46F70"/>
    <w:rsid w:val="00F54D09"/>
    <w:rsid w:val="00F662C1"/>
    <w:rsid w:val="00F80C80"/>
    <w:rsid w:val="00F94DBD"/>
    <w:rsid w:val="00F967E8"/>
    <w:rsid w:val="00FA6B45"/>
    <w:rsid w:val="00FB7897"/>
    <w:rsid w:val="00FD7238"/>
    <w:rsid w:val="00FE1C01"/>
    <w:rsid w:val="00FE61F2"/>
    <w:rsid w:val="00FE7C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CF81E62-7DA0-4750-8062-F13C72F1B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OBVESTILO"/>
    <w:qFormat/>
    <w:rsid w:val="001B17B0"/>
    <w:pPr>
      <w:spacing w:before="120" w:after="120" w:line="240" w:lineRule="auto"/>
    </w:pPr>
    <w:rPr>
      <w:rFonts w:ascii="Calibri" w:hAnsi="Calibri"/>
    </w:rPr>
  </w:style>
  <w:style w:type="paragraph" w:styleId="Heading1">
    <w:name w:val="heading 1"/>
    <w:aliases w:val="OBVESTILO"/>
    <w:basedOn w:val="Normal"/>
    <w:next w:val="Normal"/>
    <w:link w:val="Heading1Char"/>
    <w:qFormat/>
    <w:rsid w:val="002B53E9"/>
    <w:pPr>
      <w:keepNext/>
      <w:keepLines/>
      <w:numPr>
        <w:numId w:val="8"/>
      </w:numPr>
      <w:pBdr>
        <w:bottom w:val="single" w:sz="6" w:space="1" w:color="auto"/>
      </w:pBdr>
      <w:spacing w:before="0" w:after="240"/>
      <w:outlineLvl w:val="0"/>
    </w:pPr>
    <w:rPr>
      <w:rFonts w:eastAsiaTheme="majorEastAsia" w:cstheme="majorBidi"/>
      <w:b/>
      <w:color w:val="1F4E79" w:themeColor="accent1" w:themeShade="80"/>
      <w:sz w:val="44"/>
      <w:szCs w:val="32"/>
      <w:lang w:val="en-US"/>
    </w:rPr>
  </w:style>
  <w:style w:type="paragraph" w:styleId="Heading2">
    <w:name w:val="heading 2"/>
    <w:aliases w:val="OBVESTILO 1"/>
    <w:basedOn w:val="Normal"/>
    <w:next w:val="Normal"/>
    <w:link w:val="Heading2Char"/>
    <w:unhideWhenUsed/>
    <w:qFormat/>
    <w:rsid w:val="000F24B0"/>
    <w:pPr>
      <w:keepNext/>
      <w:keepLines/>
      <w:shd w:val="clear" w:color="auto" w:fill="DEEAF6" w:themeFill="accent1" w:themeFillTint="33"/>
      <w:spacing w:before="360" w:after="240"/>
      <w:outlineLvl w:val="1"/>
    </w:pPr>
    <w:rPr>
      <w:rFonts w:eastAsiaTheme="majorEastAsia" w:cstheme="majorBidi"/>
      <w:b/>
      <w:sz w:val="24"/>
      <w:szCs w:val="26"/>
      <w:lang w:val="en-US"/>
    </w:rPr>
  </w:style>
  <w:style w:type="paragraph" w:styleId="Heading3">
    <w:name w:val="heading 3"/>
    <w:aliases w:val="OBVESTILO 2"/>
    <w:basedOn w:val="Normal"/>
    <w:next w:val="Normal"/>
    <w:link w:val="Heading3Char"/>
    <w:unhideWhenUsed/>
    <w:qFormat/>
    <w:rsid w:val="001B6FD8"/>
    <w:pPr>
      <w:keepNext/>
      <w:keepLines/>
      <w:numPr>
        <w:ilvl w:val="2"/>
        <w:numId w:val="8"/>
      </w:numPr>
      <w:spacing w:before="240" w:after="240"/>
      <w:outlineLvl w:val="2"/>
    </w:pPr>
    <w:rPr>
      <w:rFonts w:eastAsiaTheme="majorEastAsia" w:cstheme="majorBidi"/>
      <w:b/>
      <w:szCs w:val="24"/>
      <w:lang w:val="en-US"/>
    </w:rPr>
  </w:style>
  <w:style w:type="paragraph" w:styleId="Heading4">
    <w:name w:val="heading 4"/>
    <w:aliases w:val="OBVESTILO 3"/>
    <w:basedOn w:val="Normal"/>
    <w:next w:val="Normal"/>
    <w:link w:val="Heading4Char"/>
    <w:unhideWhenUsed/>
    <w:qFormat/>
    <w:rsid w:val="001B6FD8"/>
    <w:pPr>
      <w:keepNext/>
      <w:keepLines/>
      <w:numPr>
        <w:ilvl w:val="3"/>
        <w:numId w:val="8"/>
      </w:numPr>
      <w:spacing w:before="240" w:after="200"/>
      <w:outlineLvl w:val="3"/>
    </w:pPr>
    <w:rPr>
      <w:rFonts w:eastAsiaTheme="majorEastAsia" w:cstheme="majorBidi"/>
      <w:b/>
      <w:i/>
      <w:iCs/>
      <w:sz w:val="24"/>
      <w:lang w:val="en-US"/>
    </w:rPr>
  </w:style>
  <w:style w:type="paragraph" w:styleId="Heading5">
    <w:name w:val="heading 5"/>
    <w:aliases w:val="OBVESTILO 4"/>
    <w:basedOn w:val="Normal"/>
    <w:next w:val="Normal"/>
    <w:link w:val="Heading5Char"/>
    <w:unhideWhenUsed/>
    <w:qFormat/>
    <w:rsid w:val="00DE4761"/>
    <w:pPr>
      <w:keepNext/>
      <w:keepLines/>
      <w:numPr>
        <w:ilvl w:val="4"/>
        <w:numId w:val="8"/>
      </w:numPr>
      <w:jc w:val="both"/>
      <w:outlineLvl w:val="4"/>
    </w:pPr>
    <w:rPr>
      <w:rFonts w:asciiTheme="majorHAnsi" w:eastAsiaTheme="majorEastAsia" w:hAnsiTheme="majorHAnsi" w:cstheme="majorBidi"/>
      <w:b/>
      <w:i/>
      <w:color w:val="2E74B5" w:themeColor="accent1" w:themeShade="BF"/>
      <w:sz w:val="20"/>
      <w:lang w:val="en-US"/>
    </w:rPr>
  </w:style>
  <w:style w:type="paragraph" w:styleId="Heading6">
    <w:name w:val="heading 6"/>
    <w:aliases w:val="OBVESTILO 5"/>
    <w:basedOn w:val="Normal"/>
    <w:next w:val="Normal"/>
    <w:link w:val="Heading6Char"/>
    <w:unhideWhenUsed/>
    <w:qFormat/>
    <w:rsid w:val="00DE4761"/>
    <w:pPr>
      <w:keepNext/>
      <w:keepLines/>
      <w:numPr>
        <w:ilvl w:val="5"/>
        <w:numId w:val="8"/>
      </w:numPr>
      <w:spacing w:before="240"/>
      <w:jc w:val="both"/>
      <w:outlineLvl w:val="5"/>
    </w:pPr>
    <w:rPr>
      <w:rFonts w:asciiTheme="majorHAnsi" w:eastAsiaTheme="majorEastAsia" w:hAnsiTheme="majorHAnsi" w:cstheme="majorBidi"/>
      <w:color w:val="1F4D78" w:themeColor="accent1" w:themeShade="7F"/>
      <w:sz w:val="20"/>
      <w:lang w:val="en-US"/>
    </w:rPr>
  </w:style>
  <w:style w:type="paragraph" w:styleId="Heading7">
    <w:name w:val="heading 7"/>
    <w:aliases w:val="OBVESTILO 6"/>
    <w:basedOn w:val="Normal"/>
    <w:next w:val="Normal"/>
    <w:link w:val="Heading7Char"/>
    <w:unhideWhenUsed/>
    <w:qFormat/>
    <w:rsid w:val="00DE4761"/>
    <w:pPr>
      <w:keepNext/>
      <w:keepLines/>
      <w:numPr>
        <w:ilvl w:val="6"/>
        <w:numId w:val="8"/>
      </w:numPr>
      <w:spacing w:before="40" w:after="0"/>
      <w:jc w:val="both"/>
      <w:outlineLvl w:val="6"/>
    </w:pPr>
    <w:rPr>
      <w:rFonts w:asciiTheme="majorHAnsi" w:eastAsiaTheme="majorEastAsia" w:hAnsiTheme="majorHAnsi" w:cstheme="majorBidi"/>
      <w:i/>
      <w:iCs/>
      <w:color w:val="1F4D78" w:themeColor="accent1" w:themeShade="7F"/>
      <w:sz w:val="20"/>
      <w:lang w:val="en-US"/>
    </w:rPr>
  </w:style>
  <w:style w:type="paragraph" w:styleId="Heading8">
    <w:name w:val="heading 8"/>
    <w:aliases w:val="OBVESTILO 7"/>
    <w:basedOn w:val="Normal"/>
    <w:next w:val="Normal"/>
    <w:link w:val="Heading8Char"/>
    <w:unhideWhenUsed/>
    <w:qFormat/>
    <w:rsid w:val="00DE4761"/>
    <w:pPr>
      <w:keepNext/>
      <w:keepLines/>
      <w:numPr>
        <w:ilvl w:val="7"/>
        <w:numId w:val="8"/>
      </w:numPr>
      <w:spacing w:before="40" w:after="0"/>
      <w:jc w:val="both"/>
      <w:outlineLvl w:val="7"/>
    </w:pPr>
    <w:rPr>
      <w:rFonts w:asciiTheme="majorHAnsi" w:eastAsiaTheme="majorEastAsia" w:hAnsiTheme="majorHAnsi" w:cstheme="majorBidi"/>
      <w:color w:val="222A35" w:themeColor="text2" w:themeShade="80"/>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7897"/>
    <w:pPr>
      <w:ind w:left="720"/>
      <w:contextualSpacing/>
    </w:pPr>
  </w:style>
  <w:style w:type="paragraph" w:customStyle="1" w:styleId="OBVESTILOTabelaBesedilo">
    <w:name w:val="OBVESTILO Tabela Besedilo"/>
    <w:basedOn w:val="OBVESTILOTabelaKrepko"/>
    <w:qFormat/>
    <w:rsid w:val="0011245C"/>
    <w:pPr>
      <w:spacing w:before="0" w:after="0"/>
    </w:pPr>
    <w:rPr>
      <w:b w:val="0"/>
      <w:bCs/>
      <w:sz w:val="20"/>
      <w:szCs w:val="24"/>
    </w:rPr>
  </w:style>
  <w:style w:type="character" w:customStyle="1" w:styleId="Heading1Char">
    <w:name w:val="Heading 1 Char"/>
    <w:aliases w:val="OBVESTILO Char"/>
    <w:basedOn w:val="DefaultParagraphFont"/>
    <w:link w:val="Heading1"/>
    <w:rsid w:val="002B53E9"/>
    <w:rPr>
      <w:rFonts w:ascii="Calibri" w:eastAsiaTheme="majorEastAsia" w:hAnsi="Calibri" w:cstheme="majorBidi"/>
      <w:b/>
      <w:color w:val="1F4E79" w:themeColor="accent1" w:themeShade="80"/>
      <w:sz w:val="44"/>
      <w:szCs w:val="32"/>
      <w:lang w:val="en-US"/>
    </w:rPr>
  </w:style>
  <w:style w:type="character" w:customStyle="1" w:styleId="Heading2Char">
    <w:name w:val="Heading 2 Char"/>
    <w:aliases w:val="OBVESTILO 1 Char"/>
    <w:basedOn w:val="DefaultParagraphFont"/>
    <w:link w:val="Heading2"/>
    <w:rsid w:val="002B53E9"/>
    <w:rPr>
      <w:rFonts w:ascii="Calibri" w:eastAsiaTheme="majorEastAsia" w:hAnsi="Calibri" w:cstheme="majorBidi"/>
      <w:b/>
      <w:sz w:val="24"/>
      <w:szCs w:val="26"/>
      <w:shd w:val="clear" w:color="auto" w:fill="DEEAF6" w:themeFill="accent1" w:themeFillTint="33"/>
      <w:lang w:val="en-US"/>
    </w:rPr>
  </w:style>
  <w:style w:type="character" w:customStyle="1" w:styleId="Heading3Char">
    <w:name w:val="Heading 3 Char"/>
    <w:aliases w:val="OBVESTILO 2 Char"/>
    <w:basedOn w:val="DefaultParagraphFont"/>
    <w:link w:val="Heading3"/>
    <w:rsid w:val="001B6FD8"/>
    <w:rPr>
      <w:rFonts w:ascii="Calibri" w:eastAsiaTheme="majorEastAsia" w:hAnsi="Calibri" w:cstheme="majorBidi"/>
      <w:b/>
      <w:szCs w:val="24"/>
      <w:lang w:val="en-US"/>
    </w:rPr>
  </w:style>
  <w:style w:type="character" w:customStyle="1" w:styleId="Heading4Char">
    <w:name w:val="Heading 4 Char"/>
    <w:aliases w:val="OBVESTILO 3 Char"/>
    <w:basedOn w:val="DefaultParagraphFont"/>
    <w:link w:val="Heading4"/>
    <w:rsid w:val="001B6FD8"/>
    <w:rPr>
      <w:rFonts w:ascii="Calibri" w:eastAsiaTheme="majorEastAsia" w:hAnsi="Calibri" w:cstheme="majorBidi"/>
      <w:b/>
      <w:i/>
      <w:iCs/>
      <w:sz w:val="24"/>
      <w:lang w:val="en-US"/>
    </w:rPr>
  </w:style>
  <w:style w:type="character" w:customStyle="1" w:styleId="Heading5Char">
    <w:name w:val="Heading 5 Char"/>
    <w:aliases w:val="OBVESTILO 4 Char"/>
    <w:basedOn w:val="DefaultParagraphFont"/>
    <w:link w:val="Heading5"/>
    <w:rsid w:val="00DE4761"/>
    <w:rPr>
      <w:rFonts w:asciiTheme="majorHAnsi" w:eastAsiaTheme="majorEastAsia" w:hAnsiTheme="majorHAnsi" w:cstheme="majorBidi"/>
      <w:b/>
      <w:i/>
      <w:color w:val="2E74B5" w:themeColor="accent1" w:themeShade="BF"/>
      <w:sz w:val="20"/>
      <w:lang w:val="en-US"/>
    </w:rPr>
  </w:style>
  <w:style w:type="character" w:customStyle="1" w:styleId="Heading6Char">
    <w:name w:val="Heading 6 Char"/>
    <w:aliases w:val="OBVESTILO 5 Char"/>
    <w:basedOn w:val="DefaultParagraphFont"/>
    <w:link w:val="Heading6"/>
    <w:rsid w:val="00DE4761"/>
    <w:rPr>
      <w:rFonts w:asciiTheme="majorHAnsi" w:eastAsiaTheme="majorEastAsia" w:hAnsiTheme="majorHAnsi" w:cstheme="majorBidi"/>
      <w:color w:val="1F4D78" w:themeColor="accent1" w:themeShade="7F"/>
      <w:sz w:val="20"/>
      <w:lang w:val="en-US"/>
    </w:rPr>
  </w:style>
  <w:style w:type="character" w:customStyle="1" w:styleId="Heading7Char">
    <w:name w:val="Heading 7 Char"/>
    <w:aliases w:val="OBVESTILO 6 Char"/>
    <w:basedOn w:val="DefaultParagraphFont"/>
    <w:link w:val="Heading7"/>
    <w:rsid w:val="00DE4761"/>
    <w:rPr>
      <w:rFonts w:asciiTheme="majorHAnsi" w:eastAsiaTheme="majorEastAsia" w:hAnsiTheme="majorHAnsi" w:cstheme="majorBidi"/>
      <w:i/>
      <w:iCs/>
      <w:color w:val="1F4D78" w:themeColor="accent1" w:themeShade="7F"/>
      <w:sz w:val="20"/>
      <w:lang w:val="en-US"/>
    </w:rPr>
  </w:style>
  <w:style w:type="character" w:customStyle="1" w:styleId="Heading8Char">
    <w:name w:val="Heading 8 Char"/>
    <w:aliases w:val="OBVESTILO 7 Char"/>
    <w:basedOn w:val="DefaultParagraphFont"/>
    <w:link w:val="Heading8"/>
    <w:rsid w:val="00DE4761"/>
    <w:rPr>
      <w:rFonts w:asciiTheme="majorHAnsi" w:eastAsiaTheme="majorEastAsia" w:hAnsiTheme="majorHAnsi" w:cstheme="majorBidi"/>
      <w:color w:val="222A35" w:themeColor="text2" w:themeShade="80"/>
      <w:sz w:val="21"/>
      <w:szCs w:val="21"/>
      <w:lang w:val="en-US"/>
    </w:rPr>
  </w:style>
  <w:style w:type="character" w:styleId="Hyperlink">
    <w:name w:val="Hyperlink"/>
    <w:rsid w:val="00C5388D"/>
    <w:rPr>
      <w:color w:val="0000FF"/>
      <w:sz w:val="20"/>
      <w:u w:val="single"/>
    </w:rPr>
  </w:style>
  <w:style w:type="paragraph" w:customStyle="1" w:styleId="ISSN">
    <w:name w:val="ISSN"/>
    <w:basedOn w:val="Normal"/>
    <w:qFormat/>
    <w:rsid w:val="002B53E9"/>
    <w:pPr>
      <w:pBdr>
        <w:bottom w:val="single" w:sz="6" w:space="1" w:color="auto"/>
      </w:pBdr>
      <w:tabs>
        <w:tab w:val="left" w:pos="1618"/>
        <w:tab w:val="left" w:pos="4091"/>
        <w:tab w:val="left" w:pos="6131"/>
        <w:tab w:val="left" w:pos="6817"/>
        <w:tab w:val="left" w:pos="9291"/>
      </w:tabs>
      <w:overflowPunct w:val="0"/>
      <w:autoSpaceDE w:val="0"/>
      <w:autoSpaceDN w:val="0"/>
      <w:adjustRightInd w:val="0"/>
      <w:spacing w:before="200"/>
      <w:textAlignment w:val="baseline"/>
    </w:pPr>
    <w:rPr>
      <w:rFonts w:eastAsia="Times New Roman" w:cs="Times New Roman"/>
      <w:b/>
      <w:sz w:val="24"/>
      <w:szCs w:val="20"/>
      <w:lang w:val="sl-SI" w:eastAsia="sl-SI"/>
    </w:rPr>
  </w:style>
  <w:style w:type="paragraph" w:customStyle="1" w:styleId="OBVESTILOIzdaja">
    <w:name w:val="OBVESTILO Izdaja"/>
    <w:basedOn w:val="Normal"/>
    <w:qFormat/>
    <w:rsid w:val="00B12DBF"/>
    <w:pPr>
      <w:widowControl w:val="0"/>
      <w:overflowPunct w:val="0"/>
      <w:autoSpaceDE w:val="0"/>
      <w:autoSpaceDN w:val="0"/>
      <w:adjustRightInd w:val="0"/>
      <w:spacing w:before="0" w:after="0"/>
      <w:textAlignment w:val="baseline"/>
    </w:pPr>
    <w:rPr>
      <w:rFonts w:eastAsiaTheme="majorEastAsia" w:cstheme="majorBidi"/>
      <w:iCs/>
      <w:sz w:val="20"/>
      <w:szCs w:val="20"/>
      <w:lang w:val="sl-SI" w:eastAsia="sl-SI"/>
    </w:rPr>
  </w:style>
  <w:style w:type="table" w:styleId="TableSimple1">
    <w:name w:val="Table Simple 1"/>
    <w:basedOn w:val="TableNormal"/>
    <w:rsid w:val="00C5388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OBVESTILOIzdajaKrepko">
    <w:name w:val="OBVESTILO Izdaja Krepko"/>
    <w:basedOn w:val="OBVESTILOIzdaja"/>
    <w:qFormat/>
    <w:rsid w:val="00B12DBF"/>
    <w:rPr>
      <w:b/>
    </w:rPr>
  </w:style>
  <w:style w:type="paragraph" w:styleId="Header">
    <w:name w:val="header"/>
    <w:basedOn w:val="Normal"/>
    <w:link w:val="HeaderChar"/>
    <w:uiPriority w:val="99"/>
    <w:unhideWhenUsed/>
    <w:rsid w:val="006A44C7"/>
    <w:pPr>
      <w:tabs>
        <w:tab w:val="center" w:pos="4513"/>
        <w:tab w:val="right" w:pos="9026"/>
      </w:tabs>
      <w:spacing w:after="0"/>
    </w:pPr>
  </w:style>
  <w:style w:type="character" w:customStyle="1" w:styleId="HeaderChar">
    <w:name w:val="Header Char"/>
    <w:basedOn w:val="DefaultParagraphFont"/>
    <w:link w:val="Header"/>
    <w:uiPriority w:val="99"/>
    <w:rsid w:val="006A44C7"/>
    <w:rPr>
      <w:rFonts w:ascii="Calibri" w:hAnsi="Calibri"/>
    </w:rPr>
  </w:style>
  <w:style w:type="paragraph" w:styleId="Footer">
    <w:name w:val="footer"/>
    <w:basedOn w:val="Normal"/>
    <w:link w:val="FooterChar"/>
    <w:uiPriority w:val="99"/>
    <w:unhideWhenUsed/>
    <w:rsid w:val="007670FB"/>
    <w:pPr>
      <w:pBdr>
        <w:top w:val="single" w:sz="2" w:space="1" w:color="auto"/>
      </w:pBdr>
      <w:tabs>
        <w:tab w:val="center" w:pos="4513"/>
        <w:tab w:val="right" w:pos="9026"/>
      </w:tabs>
      <w:spacing w:after="0"/>
      <w:jc w:val="right"/>
    </w:pPr>
  </w:style>
  <w:style w:type="character" w:customStyle="1" w:styleId="FooterChar">
    <w:name w:val="Footer Char"/>
    <w:basedOn w:val="DefaultParagraphFont"/>
    <w:link w:val="Footer"/>
    <w:uiPriority w:val="99"/>
    <w:rsid w:val="007670FB"/>
    <w:rPr>
      <w:rFonts w:ascii="Calibri" w:hAnsi="Calibri"/>
    </w:rPr>
  </w:style>
  <w:style w:type="paragraph" w:styleId="Caption">
    <w:name w:val="caption"/>
    <w:basedOn w:val="Normal"/>
    <w:next w:val="Normal"/>
    <w:uiPriority w:val="35"/>
    <w:unhideWhenUsed/>
    <w:qFormat/>
    <w:rsid w:val="00C5180A"/>
    <w:pPr>
      <w:spacing w:after="200"/>
    </w:pPr>
    <w:rPr>
      <w:i/>
      <w:iCs/>
      <w:color w:val="44546A" w:themeColor="text2"/>
      <w:sz w:val="18"/>
      <w:szCs w:val="18"/>
    </w:rPr>
  </w:style>
  <w:style w:type="paragraph" w:customStyle="1" w:styleId="OBVESTILONapisslikegrafikonapreglednice">
    <w:name w:val="OBVESTILO Napis slike/grafikona/preglednice"/>
    <w:basedOn w:val="Caption"/>
    <w:qFormat/>
    <w:rsid w:val="004F4B8E"/>
    <w:pPr>
      <w:spacing w:before="240" w:after="240"/>
    </w:pPr>
    <w:rPr>
      <w:b/>
      <w:i w:val="0"/>
      <w:color w:val="auto"/>
      <w:sz w:val="20"/>
    </w:rPr>
  </w:style>
  <w:style w:type="table" w:styleId="TableGrid">
    <w:name w:val="Table Grid"/>
    <w:basedOn w:val="TableNormal"/>
    <w:rsid w:val="00A93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A93E3C"/>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2">
    <w:name w:val="Grid Table 2"/>
    <w:basedOn w:val="TableNormal"/>
    <w:uiPriority w:val="47"/>
    <w:rsid w:val="00A93E3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
    <w:name w:val="Grid Table 1 Light"/>
    <w:basedOn w:val="TableNormal"/>
    <w:uiPriority w:val="46"/>
    <w:rsid w:val="00A93E3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OBVESTILOTabelaKrepko">
    <w:name w:val="OBVESTILO Tabela Krepko"/>
    <w:basedOn w:val="Normal"/>
    <w:qFormat/>
    <w:rsid w:val="0011245C"/>
    <w:pPr>
      <w:spacing w:before="60" w:after="60"/>
    </w:pPr>
    <w:rPr>
      <w:b/>
    </w:rPr>
  </w:style>
  <w:style w:type="paragraph" w:styleId="BalloonText">
    <w:name w:val="Balloon Text"/>
    <w:basedOn w:val="Normal"/>
    <w:link w:val="BalloonTextChar"/>
    <w:uiPriority w:val="99"/>
    <w:semiHidden/>
    <w:unhideWhenUsed/>
    <w:rsid w:val="00D60D45"/>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0D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enka.ferlez-rus@ihps.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E8503-C36B-411B-B70A-B84B0AE71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2</Pages>
  <Words>797</Words>
  <Characters>4549</Characters>
  <Application>Microsoft Office Word</Application>
  <DocSecurity>0</DocSecurity>
  <Lines>37</Lines>
  <Paragraphs>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Obvestilo sadjarjem</vt:lpstr>
      <vt:lpstr>Obvestilo sadjarjem</vt:lpstr>
    </vt:vector>
  </TitlesOfParts>
  <Company>Hewlett-Packard Company</Company>
  <LinksUpToDate>false</LinksUpToDate>
  <CharactersWithSpaces>5336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Obvestilo sadjarjem</dc:title>
  <dc:subject/>
  <dc:creator>Jolanda Persolja</dc:creator>
  <cp:keywords/>
  <dc:description/>
  <cp:lastModifiedBy>Jolanda Persolja</cp:lastModifiedBy>
  <cp:revision>94</cp:revision>
  <cp:lastPrinted>2021-07-15T12:36:00Z</cp:lastPrinted>
  <dcterms:created xsi:type="dcterms:W3CDTF">2021-06-07T12:12:00Z</dcterms:created>
  <dcterms:modified xsi:type="dcterms:W3CDTF">2021-07-15T13:38:00Z</dcterms:modified>
</cp:coreProperties>
</file>