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B243A8" w14:paraId="1ECF9E64" w14:textId="77777777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14:paraId="29E00026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14:paraId="117280B5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14:paraId="70C05D7E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</w:tr>
      <w:tr w:rsidR="00C5388D" w:rsidRPr="00B243A8" w14:paraId="4BA87516" w14:textId="77777777" w:rsidTr="002B53E9">
        <w:tc>
          <w:tcPr>
            <w:tcW w:w="1985" w:type="dxa"/>
          </w:tcPr>
          <w:p w14:paraId="1DFC204C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Izdaja:</w:t>
            </w:r>
          </w:p>
        </w:tc>
        <w:tc>
          <w:tcPr>
            <w:tcW w:w="5289" w:type="dxa"/>
          </w:tcPr>
          <w:p w14:paraId="6C6FBF66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Inštitut za hmeljarstvo i</w:t>
            </w:r>
            <w:r w:rsidR="006448FB" w:rsidRPr="00B243A8">
              <w:rPr>
                <w:noProof/>
              </w:rPr>
              <w:t xml:space="preserve">n pivovarstvo Slovenije, </w:t>
            </w:r>
            <w:r w:rsidR="00D14170" w:rsidRPr="00B243A8">
              <w:rPr>
                <w:noProof/>
              </w:rPr>
              <w:br w:type="textWrapping" w:clear="all"/>
            </w:r>
            <w:r w:rsidR="006448FB" w:rsidRPr="00B243A8">
              <w:rPr>
                <w:noProof/>
              </w:rPr>
              <w:t>Cesta Ž</w:t>
            </w:r>
            <w:r w:rsidRPr="00B243A8">
              <w:rPr>
                <w:noProof/>
              </w:rPr>
              <w:t>alskega tabora 2, 3310</w:t>
            </w:r>
            <w:r w:rsidR="001B6FD8" w:rsidRPr="00B243A8">
              <w:rPr>
                <w:noProof/>
              </w:rPr>
              <w:t xml:space="preserve"> Žalec</w:t>
            </w:r>
          </w:p>
        </w:tc>
        <w:tc>
          <w:tcPr>
            <w:tcW w:w="1752" w:type="dxa"/>
            <w:vMerge w:val="restart"/>
          </w:tcPr>
          <w:p w14:paraId="160EAA50" w14:textId="77777777" w:rsidR="00C5388D" w:rsidRPr="00B243A8" w:rsidRDefault="002B53E9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drawing>
                <wp:inline distT="0" distB="0" distL="0" distR="0" wp14:anchorId="74D24F20" wp14:editId="43326414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B243A8" w14:paraId="128BF1E9" w14:textId="77777777" w:rsidTr="002B53E9">
        <w:tc>
          <w:tcPr>
            <w:tcW w:w="1985" w:type="dxa"/>
          </w:tcPr>
          <w:p w14:paraId="18A0A569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Urednica:</w:t>
            </w:r>
          </w:p>
        </w:tc>
        <w:tc>
          <w:tcPr>
            <w:tcW w:w="5289" w:type="dxa"/>
          </w:tcPr>
          <w:p w14:paraId="65F66D82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</w:t>
            </w:r>
          </w:p>
        </w:tc>
        <w:tc>
          <w:tcPr>
            <w:tcW w:w="1752" w:type="dxa"/>
            <w:vMerge/>
          </w:tcPr>
          <w:p w14:paraId="39D3EF31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67EFC256" w14:textId="77777777" w:rsidTr="002B53E9">
        <w:tc>
          <w:tcPr>
            <w:tcW w:w="1985" w:type="dxa"/>
          </w:tcPr>
          <w:p w14:paraId="1DCC3995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E-pošta uredništva:</w:t>
            </w:r>
          </w:p>
        </w:tc>
        <w:tc>
          <w:tcPr>
            <w:tcW w:w="5289" w:type="dxa"/>
          </w:tcPr>
          <w:p w14:paraId="3EC9DCF9" w14:textId="77777777" w:rsidR="00C5388D" w:rsidRPr="00B243A8" w:rsidRDefault="00000000" w:rsidP="00152AA9">
            <w:pPr>
              <w:pStyle w:val="OBVESTILOIzdaja"/>
              <w:rPr>
                <w:noProof/>
              </w:rPr>
            </w:pPr>
            <w:hyperlink r:id="rId9" w:history="1">
              <w:r w:rsidR="00C5388D" w:rsidRPr="00B243A8">
                <w:rPr>
                  <w:rStyle w:val="Hyperlink"/>
                  <w:noProof/>
                </w:rPr>
                <w:t>alenka.ferlez-rus@ihps.si</w:t>
              </w:r>
            </w:hyperlink>
            <w:r w:rsidR="00C5388D" w:rsidRPr="00B243A8">
              <w:rPr>
                <w:noProof/>
              </w:rPr>
              <w:t xml:space="preserve"> </w:t>
            </w:r>
          </w:p>
        </w:tc>
        <w:tc>
          <w:tcPr>
            <w:tcW w:w="1752" w:type="dxa"/>
            <w:vMerge/>
          </w:tcPr>
          <w:p w14:paraId="612F201C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6A5285FA" w14:textId="77777777" w:rsidTr="002B53E9">
        <w:tc>
          <w:tcPr>
            <w:tcW w:w="1985" w:type="dxa"/>
          </w:tcPr>
          <w:p w14:paraId="73FF5A38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Uredniški odbor:</w:t>
            </w:r>
          </w:p>
        </w:tc>
        <w:tc>
          <w:tcPr>
            <w:tcW w:w="5289" w:type="dxa"/>
          </w:tcPr>
          <w:p w14:paraId="263515A6" w14:textId="77777777" w:rsidR="00C5388D" w:rsidRPr="00B243A8" w:rsidRDefault="003E7378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14:paraId="5D8C4C28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</w:tbl>
    <w:p w14:paraId="7AEAB3CA" w14:textId="18996774" w:rsidR="00C5388D" w:rsidRPr="00B243A8" w:rsidRDefault="003E7378" w:rsidP="00D60D45">
      <w:pPr>
        <w:pStyle w:val="ISSN"/>
        <w:rPr>
          <w:noProof/>
        </w:rPr>
      </w:pPr>
      <w:r w:rsidRPr="00B243A8">
        <w:rPr>
          <w:noProof/>
        </w:rPr>
        <w:t>ISSN 2536-233X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  <w:sz w:val="16"/>
          <w:szCs w:val="16"/>
        </w:rPr>
        <w:t>(za spletno izdajo)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</w:rPr>
        <w:tab/>
        <w:t xml:space="preserve">Letnik </w:t>
      </w:r>
      <w:r w:rsidR="006F69D2" w:rsidRPr="00B243A8">
        <w:rPr>
          <w:noProof/>
        </w:rPr>
        <w:t>3</w:t>
      </w:r>
      <w:r w:rsidR="0078375C">
        <w:rPr>
          <w:noProof/>
        </w:rPr>
        <w:t>3</w:t>
      </w:r>
      <w:r w:rsidR="00C5388D" w:rsidRPr="00B243A8">
        <w:rPr>
          <w:noProof/>
        </w:rPr>
        <w:t xml:space="preserve">, št. </w:t>
      </w:r>
      <w:r w:rsidR="000C3DF0">
        <w:rPr>
          <w:noProof/>
        </w:rPr>
        <w:t>2</w:t>
      </w:r>
      <w:r w:rsidR="001B08DB">
        <w:rPr>
          <w:noProof/>
        </w:rPr>
        <w:t>2</w:t>
      </w:r>
      <w:r w:rsidR="000137EE" w:rsidRPr="00B243A8">
        <w:rPr>
          <w:noProof/>
        </w:rPr>
        <w:tab/>
      </w:r>
      <w:r w:rsidR="000137EE" w:rsidRPr="00B243A8">
        <w:rPr>
          <w:noProof/>
        </w:rPr>
        <w:tab/>
      </w:r>
      <w:r w:rsidR="001B08DB">
        <w:rPr>
          <w:noProof/>
        </w:rPr>
        <w:t>1</w:t>
      </w:r>
      <w:r w:rsidR="00A5501A">
        <w:rPr>
          <w:noProof/>
        </w:rPr>
        <w:t>4</w:t>
      </w:r>
      <w:r w:rsidR="00232070">
        <w:rPr>
          <w:noProof/>
        </w:rPr>
        <w:t>.</w:t>
      </w:r>
      <w:r w:rsidR="006C693A" w:rsidRPr="00B243A8">
        <w:rPr>
          <w:noProof/>
        </w:rPr>
        <w:t xml:space="preserve"> </w:t>
      </w:r>
      <w:r w:rsidR="001B08DB">
        <w:rPr>
          <w:noProof/>
        </w:rPr>
        <w:t xml:space="preserve">august </w:t>
      </w:r>
      <w:r w:rsidR="006F69D2" w:rsidRPr="00B243A8">
        <w:rPr>
          <w:noProof/>
        </w:rPr>
        <w:t>202</w:t>
      </w:r>
      <w:r w:rsidR="00102F7C">
        <w:rPr>
          <w:noProof/>
        </w:rPr>
        <w:t>4</w:t>
      </w:r>
    </w:p>
    <w:p w14:paraId="4C66DE6E" w14:textId="77777777" w:rsidR="001B08DB" w:rsidRPr="00430352" w:rsidRDefault="001B08DB" w:rsidP="001B08DB">
      <w:pPr>
        <w:pStyle w:val="Heading2"/>
        <w:rPr>
          <w:lang w:val="sl-SI"/>
        </w:rPr>
      </w:pPr>
      <w:r w:rsidRPr="00430352">
        <w:rPr>
          <w:lang w:val="sl-SI"/>
        </w:rPr>
        <w:t>Fenološki razvoj</w:t>
      </w:r>
    </w:p>
    <w:p w14:paraId="216FF702" w14:textId="77777777" w:rsidR="001B08DB" w:rsidRPr="00430352" w:rsidRDefault="001B08DB" w:rsidP="001B08DB">
      <w:r w:rsidRPr="00217362">
        <w:t>Plodovi jabolk v povprečju na opazovane sorte dosegajo fenološko fazo BBCH 79 (plodovi dosegli 90 % končne velikosti) in pri zgodnjih sortah</w:t>
      </w:r>
      <w:r>
        <w:t xml:space="preserve"> </w:t>
      </w:r>
      <w:r w:rsidRPr="00217362">
        <w:t>(Gala, Elstar) prehajajo v fazo začetka zorenja plodov BBCH 81.</w:t>
      </w:r>
    </w:p>
    <w:p w14:paraId="5F63C16B" w14:textId="77777777" w:rsidR="001B08DB" w:rsidRPr="00732EE7" w:rsidRDefault="001B08DB" w:rsidP="001B08DB">
      <w:pPr>
        <w:pStyle w:val="Heading2"/>
        <w:rPr>
          <w:lang w:val="sl-SI"/>
        </w:rPr>
      </w:pPr>
      <w:r w:rsidRPr="000F4A91">
        <w:rPr>
          <w:lang w:val="sl-SI"/>
        </w:rPr>
        <w:t xml:space="preserve">Jablanov škrlup in ostale skladiščne bolezni </w:t>
      </w:r>
    </w:p>
    <w:p w14:paraId="4CF841A0" w14:textId="2839134A" w:rsidR="001B08DB" w:rsidRPr="00732EE7" w:rsidRDefault="001B08DB" w:rsidP="001B08DB">
      <w:pPr>
        <w:rPr>
          <w:rFonts w:eastAsia="Calibri" w:cs="Calibri"/>
        </w:rPr>
      </w:pPr>
      <w:r w:rsidRPr="00732EE7">
        <w:rPr>
          <w:rFonts w:eastAsia="Calibri" w:cs="Calibri"/>
        </w:rPr>
        <w:t xml:space="preserve">V nasadih, kjer so na listih in plodovih </w:t>
      </w:r>
      <w:r>
        <w:rPr>
          <w:rFonts w:eastAsia="Calibri" w:cs="Calibri"/>
        </w:rPr>
        <w:t xml:space="preserve">prisotne </w:t>
      </w:r>
      <w:r w:rsidRPr="00732EE7">
        <w:rPr>
          <w:rFonts w:eastAsia="Calibri" w:cs="Calibri"/>
        </w:rPr>
        <w:t xml:space="preserve">pege </w:t>
      </w:r>
      <w:r>
        <w:rPr>
          <w:rFonts w:eastAsia="Calibri" w:cs="Calibri"/>
        </w:rPr>
        <w:t xml:space="preserve">škrlupa </w:t>
      </w:r>
      <w:r w:rsidRPr="00732EE7">
        <w:rPr>
          <w:rFonts w:eastAsia="Calibri" w:cs="Calibri"/>
        </w:rPr>
        <w:t xml:space="preserve">poskrbite, da bodo ti stalno zaščiteni s fungicidno oblogo in nadaljujte s preventivno zaščito plodov. </w:t>
      </w:r>
    </w:p>
    <w:p w14:paraId="6AFA8471" w14:textId="77777777" w:rsidR="001B08DB" w:rsidRPr="00EC183F" w:rsidRDefault="001B08DB" w:rsidP="001B08DB">
      <w:pPr>
        <w:rPr>
          <w:rFonts w:asciiTheme="minorHAnsi" w:hAnsiTheme="minorHAnsi" w:cstheme="minorHAnsi"/>
        </w:rPr>
      </w:pPr>
      <w:r w:rsidRPr="00EC183F">
        <w:rPr>
          <w:b/>
        </w:rPr>
        <w:t>V nasadih</w:t>
      </w:r>
      <w:r w:rsidRPr="00EC183F">
        <w:t xml:space="preserve"> </w:t>
      </w:r>
      <w:r w:rsidRPr="00EC183F">
        <w:rPr>
          <w:b/>
        </w:rPr>
        <w:t>poznih sort</w:t>
      </w:r>
      <w:r w:rsidRPr="00EC183F">
        <w:t xml:space="preserve"> še vedno lahko opravite škropljenje proti škrlupu z enim od pripravkov na osnovi aktivne snovi kaptan: </w:t>
      </w:r>
      <w:r w:rsidRPr="00EC183F">
        <w:rPr>
          <w:rFonts w:asciiTheme="minorHAnsi" w:hAnsiTheme="minorHAnsi" w:cstheme="minorHAnsi"/>
          <w:b/>
        </w:rPr>
        <w:t>Captan 80 WG</w:t>
      </w:r>
      <w:r w:rsidRPr="00EC183F">
        <w:rPr>
          <w:rFonts w:asciiTheme="minorHAnsi" w:hAnsiTheme="minorHAnsi" w:cstheme="minorHAnsi"/>
        </w:rPr>
        <w:t xml:space="preserve"> (2kg/ha), </w:t>
      </w:r>
      <w:r w:rsidRPr="00EC183F">
        <w:rPr>
          <w:rFonts w:asciiTheme="minorHAnsi" w:hAnsiTheme="minorHAnsi" w:cstheme="minorHAnsi"/>
          <w:b/>
        </w:rPr>
        <w:t>Merpan 80 WDG</w:t>
      </w:r>
      <w:r w:rsidRPr="00EC183F">
        <w:rPr>
          <w:rFonts w:asciiTheme="minorHAnsi" w:hAnsiTheme="minorHAnsi" w:cstheme="minorHAnsi"/>
        </w:rPr>
        <w:t xml:space="preserve"> (1,88 kg/ha), </w:t>
      </w:r>
      <w:r w:rsidRPr="00EC183F">
        <w:rPr>
          <w:rFonts w:asciiTheme="minorHAnsi" w:hAnsiTheme="minorHAnsi" w:cstheme="minorHAnsi"/>
          <w:b/>
        </w:rPr>
        <w:t xml:space="preserve">Orthocide 80 WG </w:t>
      </w:r>
      <w:r w:rsidRPr="00EC183F">
        <w:rPr>
          <w:rFonts w:asciiTheme="minorHAnsi" w:hAnsiTheme="minorHAnsi" w:cstheme="minorHAnsi"/>
        </w:rPr>
        <w:t xml:space="preserve">(2 kg/ha), </w:t>
      </w:r>
      <w:r w:rsidRPr="00EC183F">
        <w:rPr>
          <w:rFonts w:asciiTheme="minorHAnsi" w:hAnsiTheme="minorHAnsi" w:cstheme="minorHAnsi"/>
          <w:b/>
        </w:rPr>
        <w:t>Scab 80 WG</w:t>
      </w:r>
      <w:r w:rsidRPr="00EC183F">
        <w:rPr>
          <w:rFonts w:asciiTheme="minorHAnsi" w:hAnsiTheme="minorHAnsi" w:cstheme="minorHAnsi"/>
        </w:rPr>
        <w:t xml:space="preserve"> (1,9 kg/ha) ali </w:t>
      </w:r>
      <w:r w:rsidRPr="00EC183F">
        <w:rPr>
          <w:rFonts w:asciiTheme="minorHAnsi" w:hAnsiTheme="minorHAnsi" w:cstheme="minorHAnsi"/>
          <w:b/>
        </w:rPr>
        <w:t xml:space="preserve">Scab 480 SC </w:t>
      </w:r>
      <w:r w:rsidRPr="00EC183F">
        <w:rPr>
          <w:rFonts w:asciiTheme="minorHAnsi" w:hAnsiTheme="minorHAnsi" w:cstheme="minorHAnsi"/>
        </w:rPr>
        <w:t xml:space="preserve">(3,13 L/ha). </w:t>
      </w:r>
    </w:p>
    <w:p w14:paraId="27B7E3C8" w14:textId="77777777" w:rsidR="001B08DB" w:rsidRPr="00A97F70" w:rsidRDefault="001B08DB" w:rsidP="001B08DB">
      <w:pPr>
        <w:rPr>
          <w:lang w:eastAsia="sl-SI"/>
        </w:rPr>
      </w:pPr>
      <w:r w:rsidRPr="00A97F70">
        <w:rPr>
          <w:lang w:eastAsia="sl-SI"/>
        </w:rPr>
        <w:t xml:space="preserve">V kolikor še imete na zalogi je v tem času je prav tako smiselna uporaba pripravka </w:t>
      </w:r>
      <w:r w:rsidRPr="00A97F70">
        <w:rPr>
          <w:b/>
          <w:lang w:eastAsia="sl-SI"/>
        </w:rPr>
        <w:t>Zato 50 WG</w:t>
      </w:r>
      <w:r w:rsidRPr="00A97F70">
        <w:rPr>
          <w:lang w:eastAsia="sl-SI"/>
        </w:rPr>
        <w:t xml:space="preserve"> </w:t>
      </w:r>
      <w:r w:rsidRPr="00A97F70">
        <w:t>(100 – 150 g/ha)</w:t>
      </w:r>
      <w:r w:rsidRPr="00A97F70">
        <w:rPr>
          <w:lang w:eastAsia="sl-SI"/>
        </w:rPr>
        <w:t>, ki delujejo tudi na pozni-skladiščni škrlup in ostale skladiščne bolezni.</w:t>
      </w:r>
    </w:p>
    <w:p w14:paraId="54AA2587" w14:textId="77777777" w:rsidR="001B08DB" w:rsidRPr="003E40FE" w:rsidRDefault="001B08DB" w:rsidP="001B08DB">
      <w:pPr>
        <w:rPr>
          <w:highlight w:val="yellow"/>
          <w:lang w:eastAsia="sl-SI"/>
        </w:rPr>
      </w:pPr>
      <w:r w:rsidRPr="001438B3">
        <w:rPr>
          <w:lang w:eastAsia="sl-SI"/>
        </w:rPr>
        <w:t xml:space="preserve">Prav tako lahko uporabite pripravek </w:t>
      </w:r>
      <w:r w:rsidRPr="001438B3">
        <w:rPr>
          <w:b/>
          <w:lang w:eastAsia="sl-SI"/>
        </w:rPr>
        <w:t xml:space="preserve">Lun care </w:t>
      </w:r>
      <w:r w:rsidRPr="001438B3">
        <w:rPr>
          <w:lang w:eastAsia="sl-SI"/>
        </w:rPr>
        <w:t xml:space="preserve">(3kg/ha), vendar upoštevajte opozorilo, da </w:t>
      </w:r>
      <w:r w:rsidRPr="001438B3">
        <w:rPr>
          <w:b/>
          <w:lang w:eastAsia="sl-SI"/>
        </w:rPr>
        <w:t xml:space="preserve"> </w:t>
      </w:r>
      <w:r w:rsidRPr="001438B3">
        <w:rPr>
          <w:lang w:eastAsia="sl-SI"/>
        </w:rPr>
        <w:t xml:space="preserve">uporaba sredstva LUNA CARE ni dovoljena na sorti jablan zlati delišes in vseh njenih varietetah. </w:t>
      </w:r>
      <w:r w:rsidRPr="001438B3">
        <w:rPr>
          <w:lang w:eastAsia="sl-SI"/>
        </w:rPr>
        <w:cr/>
      </w:r>
    </w:p>
    <w:p w14:paraId="1E6E9CE3" w14:textId="7EA11185" w:rsidR="001B08DB" w:rsidRPr="001438B3" w:rsidRDefault="001B08DB" w:rsidP="001B08DB">
      <w:r w:rsidRPr="001438B3">
        <w:rPr>
          <w:b/>
        </w:rPr>
        <w:t>Za zaključna škropljenja</w:t>
      </w:r>
      <w:r w:rsidRPr="001438B3">
        <w:t xml:space="preserve"> jablan in hrušk priporočamo uporabo pripravkov, ki </w:t>
      </w:r>
      <w:r w:rsidRPr="001438B3">
        <w:rPr>
          <w:b/>
        </w:rPr>
        <w:t>zmanjšujejo okužbe skladiščnih bolezni in poznega – skladiščnega škrlupa</w:t>
      </w:r>
      <w:r w:rsidRPr="001438B3">
        <w:t xml:space="preserve"> kot so: </w:t>
      </w:r>
      <w:r w:rsidRPr="001438B3">
        <w:rPr>
          <w:b/>
        </w:rPr>
        <w:t>Geoxe</w:t>
      </w:r>
      <w:r w:rsidRPr="001438B3">
        <w:t xml:space="preserve"> (0,45 kg/ha), </w:t>
      </w:r>
      <w:r w:rsidRPr="001438B3">
        <w:rPr>
          <w:b/>
        </w:rPr>
        <w:t xml:space="preserve">Pomax </w:t>
      </w:r>
      <w:r w:rsidRPr="001438B3">
        <w:t xml:space="preserve">(1,6 L/ha), </w:t>
      </w:r>
      <w:r w:rsidRPr="001438B3">
        <w:rPr>
          <w:b/>
        </w:rPr>
        <w:t>Luna experience</w:t>
      </w:r>
      <w:r w:rsidRPr="001438B3">
        <w:t xml:space="preserve"> (0,75 L/ha</w:t>
      </w:r>
      <w:r w:rsidR="00A53578">
        <w:t xml:space="preserve"> ali</w:t>
      </w:r>
      <w:r>
        <w:t xml:space="preserve"> </w:t>
      </w:r>
      <w:r w:rsidRPr="001B08DB">
        <w:rPr>
          <w:b/>
          <w:bCs/>
        </w:rPr>
        <w:t>Scala</w:t>
      </w:r>
      <w:r>
        <w:t xml:space="preserve"> (1,5 L/ha)</w:t>
      </w:r>
      <w:r w:rsidRPr="001438B3">
        <w:t xml:space="preserve">. </w:t>
      </w:r>
    </w:p>
    <w:p w14:paraId="14857913" w14:textId="77777777" w:rsidR="001B08DB" w:rsidRPr="001438B3" w:rsidRDefault="001B08DB" w:rsidP="001B08DB">
      <w:pPr>
        <w:spacing w:before="0" w:after="0"/>
      </w:pPr>
      <w:r w:rsidRPr="001438B3">
        <w:t xml:space="preserve">Za zmanjšanje okužb skladiščnih bolezni lahko uporabite tudi </w:t>
      </w:r>
      <w:r w:rsidRPr="001438B3">
        <w:rPr>
          <w:b/>
        </w:rPr>
        <w:t>Switch 62,5 WG</w:t>
      </w:r>
      <w:r w:rsidRPr="001438B3">
        <w:t xml:space="preserve"> (1 kg/ha) ali pripravek  na osnovi  bakterije Bacillus amyloliquefaciens var. plantarum, sev D747 </w:t>
      </w:r>
      <w:r w:rsidRPr="001438B3">
        <w:rPr>
          <w:b/>
        </w:rPr>
        <w:t>Amylo-X</w:t>
      </w:r>
      <w:r w:rsidRPr="001438B3">
        <w:t xml:space="preserve"> (1,5 – 2,5 kg/ha), kjer karenca ni potrebna ali pripravka na osnovi kalijevega hidrogen karbonata </w:t>
      </w:r>
      <w:r w:rsidRPr="001438B3">
        <w:rPr>
          <w:b/>
        </w:rPr>
        <w:t>Vitisan</w:t>
      </w:r>
      <w:r w:rsidRPr="001438B3">
        <w:t xml:space="preserve"> (2,5 kg/ha</w:t>
      </w:r>
      <w:r>
        <w:t xml:space="preserve"> na meter višine krošnje</w:t>
      </w:r>
      <w:r w:rsidRPr="001438B3">
        <w:t xml:space="preserve">) ali </w:t>
      </w:r>
      <w:r w:rsidRPr="001438B3">
        <w:rPr>
          <w:b/>
        </w:rPr>
        <w:t xml:space="preserve">Karbicure </w:t>
      </w:r>
      <w:r w:rsidRPr="001438B3">
        <w:t>(5 kg/ha), ki imata 1 dan karence. Slednji trije pripravki imajo dovoljenje za uporabo tudi v ekološki pridelavi.</w:t>
      </w:r>
    </w:p>
    <w:p w14:paraId="5F8281C0" w14:textId="77777777" w:rsidR="001B08DB" w:rsidRPr="001438B3" w:rsidRDefault="001B08DB" w:rsidP="001B08DB">
      <w:pPr>
        <w:rPr>
          <w:b/>
        </w:rPr>
      </w:pPr>
      <w:r w:rsidRPr="001438B3">
        <w:rPr>
          <w:b/>
        </w:rPr>
        <w:t>V tem času opravite zaključna škropljenje zgodnjih sort (Gala, Elstar).</w:t>
      </w:r>
    </w:p>
    <w:p w14:paraId="2CB89744" w14:textId="77777777" w:rsidR="001B08DB" w:rsidRPr="0002761A" w:rsidRDefault="001B08DB" w:rsidP="001B08DB">
      <w:r w:rsidRPr="001438B3">
        <w:t>Pri ostalih sortah ne hitite z zaključnimi škropljenji in jih ob upoštevanju karenčne dobe prilagodite obiralnemu oknu posamezne sorte. Enaka strategija škropljenja proti škrlupu velja tudi za hruške.</w:t>
      </w:r>
    </w:p>
    <w:p w14:paraId="408FD07D" w14:textId="77777777" w:rsidR="001B08DB" w:rsidRPr="0002761A" w:rsidRDefault="001B08DB" w:rsidP="001B08DB">
      <w:pPr>
        <w:pStyle w:val="Heading2"/>
        <w:rPr>
          <w:lang w:val="sl-SI"/>
        </w:rPr>
      </w:pPr>
      <w:r w:rsidRPr="0002761A">
        <w:rPr>
          <w:lang w:val="sl-SI"/>
        </w:rPr>
        <w:t>Jabolčni zavijač</w:t>
      </w:r>
    </w:p>
    <w:p w14:paraId="683E1B82" w14:textId="36CDD03A" w:rsidR="001B08DB" w:rsidRPr="000439E7" w:rsidRDefault="001B08DB" w:rsidP="001B08DB">
      <w:pPr>
        <w:rPr>
          <w:lang w:eastAsia="sl-SI"/>
        </w:rPr>
      </w:pPr>
      <w:r w:rsidRPr="000439E7">
        <w:rPr>
          <w:lang w:eastAsia="sl-SI"/>
        </w:rPr>
        <w:t>Na opazovanih lokacijah so ulovi metuljčkov jabolčnega zavijača malo številčni. Nadaljujte z vizualnimi pregledi nasadov. Pregled naj obsega 1000 plodov posamezne sorte (prag škodljivosti za drugi rod pa 1% črvivih plodov). V primeru preseganja praga škodljivosti</w:t>
      </w:r>
      <w:r>
        <w:rPr>
          <w:lang w:eastAsia="sl-SI"/>
        </w:rPr>
        <w:t xml:space="preserve"> </w:t>
      </w:r>
      <w:r w:rsidRPr="000439E7">
        <w:rPr>
          <w:lang w:eastAsia="sl-SI"/>
        </w:rPr>
        <w:t xml:space="preserve">opravite še eno škropljenje s pripravki kot so: </w:t>
      </w:r>
      <w:r w:rsidRPr="000439E7">
        <w:rPr>
          <w:b/>
          <w:lang w:eastAsia="sl-SI"/>
        </w:rPr>
        <w:t>Affirm</w:t>
      </w:r>
      <w:r w:rsidRPr="000439E7">
        <w:rPr>
          <w:lang w:eastAsia="sl-SI"/>
        </w:rPr>
        <w:t xml:space="preserve"> (4kg/ha), </w:t>
      </w:r>
      <w:r w:rsidRPr="000439E7">
        <w:rPr>
          <w:b/>
          <w:lang w:eastAsia="sl-SI"/>
        </w:rPr>
        <w:t>Affirm opti</w:t>
      </w:r>
      <w:r w:rsidRPr="000439E7">
        <w:rPr>
          <w:lang w:eastAsia="sl-SI"/>
        </w:rPr>
        <w:t xml:space="preserve"> (2kg/ha) ali </w:t>
      </w:r>
      <w:r w:rsidRPr="000439E7">
        <w:rPr>
          <w:b/>
          <w:bCs/>
          <w:lang w:eastAsia="sl-SI"/>
        </w:rPr>
        <w:t xml:space="preserve">Delegate 250 WG </w:t>
      </w:r>
      <w:r w:rsidRPr="000439E7">
        <w:rPr>
          <w:lang w:eastAsia="sl-SI"/>
        </w:rPr>
        <w:t xml:space="preserve">(0,3 kg/ha). Uporabite lahko tudi pripravek </w:t>
      </w:r>
      <w:r w:rsidRPr="000439E7">
        <w:rPr>
          <w:b/>
          <w:bCs/>
          <w:lang w:eastAsia="sl-SI"/>
        </w:rPr>
        <w:t xml:space="preserve">Laser plus </w:t>
      </w:r>
      <w:r w:rsidRPr="000439E7">
        <w:rPr>
          <w:lang w:eastAsia="sl-SI"/>
        </w:rPr>
        <w:t>(0,3 L/ha),</w:t>
      </w:r>
      <w:r w:rsidRPr="000439E7">
        <w:rPr>
          <w:b/>
          <w:bCs/>
          <w:lang w:eastAsia="sl-SI"/>
        </w:rPr>
        <w:t xml:space="preserve"> </w:t>
      </w:r>
      <w:r w:rsidRPr="000439E7">
        <w:rPr>
          <w:lang w:eastAsia="sl-SI"/>
        </w:rPr>
        <w:t xml:space="preserve">ki ima dovoljenje za uporabo tudi </w:t>
      </w:r>
      <w:r w:rsidRPr="001B2082">
        <w:rPr>
          <w:lang w:eastAsia="sl-SI"/>
        </w:rPr>
        <w:t>v ekološki pridelavi.</w:t>
      </w:r>
      <w:r w:rsidRPr="000439E7">
        <w:rPr>
          <w:lang w:eastAsia="sl-SI"/>
        </w:rPr>
        <w:t xml:space="preserve"> </w:t>
      </w:r>
      <w:r w:rsidRPr="000439E7">
        <w:rPr>
          <w:lang w:eastAsia="sl-SI"/>
        </w:rPr>
        <w:lastRenderedPageBreak/>
        <w:t xml:space="preserve">Slednja dva pripravka lahko uporabite </w:t>
      </w:r>
      <w:r w:rsidRPr="000439E7">
        <w:rPr>
          <w:b/>
          <w:lang w:eastAsia="sl-SI"/>
        </w:rPr>
        <w:t xml:space="preserve">le 1x v rastni dobi. </w:t>
      </w:r>
      <w:r w:rsidRPr="000439E7">
        <w:rPr>
          <w:lang w:eastAsia="sl-SI"/>
        </w:rPr>
        <w:t xml:space="preserve">Vsi našteti pripravki imajo kratko karenčno dobo – 7 dni. </w:t>
      </w:r>
    </w:p>
    <w:p w14:paraId="31B22ABC" w14:textId="77777777" w:rsidR="001B08DB" w:rsidRPr="000439E7" w:rsidRDefault="001B08DB" w:rsidP="001B08DB">
      <w:pPr>
        <w:rPr>
          <w:lang w:eastAsia="sl-SI"/>
        </w:rPr>
      </w:pPr>
      <w:r w:rsidRPr="000439E7">
        <w:rPr>
          <w:b/>
          <w:lang w:eastAsia="sl-SI"/>
        </w:rPr>
        <w:t xml:space="preserve">PRI UPORABI SREDSTEV NEVARNIH ZA ČEBELE IZVAJAJTE ŠKROPLJENJE IZKLJUČNO POZNO ZVEČER, PONOČI ALI ZGODAJ VZJUTRAJ, KO SO ČEBELE V PANJIH TER POSKRBITE, DA BO PODRAST POMULČENA! PRED UPORABO SREDSTEV PREBERITE NAVODILA ZA UPORABO IN DOSLEDNO UPOŠTEVAJTE TUDI OSTALA OPOZORILA GLEDE VARSTVA OKOLJA. </w:t>
      </w:r>
    </w:p>
    <w:p w14:paraId="1B1E4657" w14:textId="77777777" w:rsidR="001B08DB" w:rsidRPr="000439E7" w:rsidRDefault="001B08DB" w:rsidP="001B08DB">
      <w:pPr>
        <w:rPr>
          <w:b/>
          <w:lang w:eastAsia="sl-SI"/>
        </w:rPr>
      </w:pPr>
      <w:r w:rsidRPr="000439E7">
        <w:rPr>
          <w:b/>
          <w:lang w:eastAsia="sl-SI"/>
        </w:rPr>
        <w:t xml:space="preserve">Bodite dosledni pri upoštevanju karenčne dobe glede na tehnološki rok obiranja posamezne sorte jabolk! </w:t>
      </w:r>
    </w:p>
    <w:p w14:paraId="737D3B7D" w14:textId="77777777" w:rsidR="001B08DB" w:rsidRPr="001B2082" w:rsidRDefault="001B08DB" w:rsidP="001B08DB">
      <w:pPr>
        <w:rPr>
          <w:lang w:eastAsia="sl-SI"/>
        </w:rPr>
      </w:pPr>
      <w:r w:rsidRPr="001B2082">
        <w:rPr>
          <w:lang w:eastAsia="sl-SI"/>
        </w:rPr>
        <w:t>Preglednica: Pripravki in karenčne dobe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8"/>
        <w:gridCol w:w="2091"/>
      </w:tblGrid>
      <w:tr w:rsidR="007A4E70" w:rsidRPr="007A4E70" w14:paraId="24489A80" w14:textId="77777777" w:rsidTr="009C4406">
        <w:trPr>
          <w:trHeight w:val="283"/>
        </w:trPr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DECB" w14:textId="3BB66613" w:rsidR="007A4E70" w:rsidRPr="007A4E70" w:rsidRDefault="007A4E70" w:rsidP="009C4406">
            <w:pPr>
              <w:spacing w:before="0"/>
              <w:rPr>
                <w:b/>
                <w:bCs/>
                <w:i/>
                <w:lang w:eastAsia="sl-SI"/>
              </w:rPr>
            </w:pPr>
            <w:r w:rsidRPr="007A4E70">
              <w:rPr>
                <w:b/>
                <w:bCs/>
                <w:lang w:eastAsia="sl-SI"/>
              </w:rPr>
              <w:t>Fitofarmacevtsko sredstvo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D02A" w14:textId="08475D0E" w:rsidR="007A4E70" w:rsidRPr="007A4E70" w:rsidRDefault="007A4E70" w:rsidP="009C4406">
            <w:pPr>
              <w:spacing w:before="0"/>
              <w:rPr>
                <w:b/>
                <w:bCs/>
                <w:lang w:eastAsia="sl-SI"/>
              </w:rPr>
            </w:pPr>
            <w:r w:rsidRPr="007A4E70">
              <w:rPr>
                <w:b/>
                <w:bCs/>
                <w:lang w:eastAsia="sl-SI"/>
              </w:rPr>
              <w:t>KARENCA (št. dni)</w:t>
            </w:r>
          </w:p>
        </w:tc>
      </w:tr>
      <w:tr w:rsidR="007A4E70" w:rsidRPr="001B2082" w14:paraId="365782FB" w14:textId="77777777" w:rsidTr="009C4406">
        <w:trPr>
          <w:trHeight w:val="283"/>
        </w:trPr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B6FD" w14:textId="300E33EF" w:rsidR="007A4E70" w:rsidRPr="001B2082" w:rsidRDefault="007A4E70" w:rsidP="009C4406">
            <w:pPr>
              <w:spacing w:before="0"/>
              <w:rPr>
                <w:lang w:eastAsia="sl-SI"/>
              </w:rPr>
            </w:pPr>
            <w:r w:rsidRPr="001B2082">
              <w:rPr>
                <w:i/>
                <w:lang w:eastAsia="sl-SI"/>
              </w:rPr>
              <w:t>FUNGICIDI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C6C6" w14:textId="77777777" w:rsidR="007A4E70" w:rsidRPr="001B2082" w:rsidRDefault="007A4E70" w:rsidP="009C4406">
            <w:pPr>
              <w:spacing w:before="0"/>
              <w:rPr>
                <w:lang w:eastAsia="sl-SI"/>
              </w:rPr>
            </w:pPr>
          </w:p>
        </w:tc>
      </w:tr>
      <w:tr w:rsidR="001B08DB" w:rsidRPr="001B2082" w14:paraId="328F6EF8" w14:textId="77777777" w:rsidTr="009C4406">
        <w:trPr>
          <w:trHeight w:val="283"/>
        </w:trPr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6231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Vitisan, Karbicure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6EA84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1</w:t>
            </w:r>
          </w:p>
        </w:tc>
      </w:tr>
      <w:tr w:rsidR="001B08DB" w:rsidRPr="001B2082" w14:paraId="7A1A279D" w14:textId="77777777" w:rsidTr="009C4406">
        <w:trPr>
          <w:trHeight w:val="283"/>
        </w:trPr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0EF98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Geoxe, Switch 62,5 WG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6959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3</w:t>
            </w:r>
          </w:p>
        </w:tc>
      </w:tr>
      <w:tr w:rsidR="001B08DB" w:rsidRPr="001B2082" w14:paraId="394689EB" w14:textId="77777777" w:rsidTr="009C4406">
        <w:trPr>
          <w:trHeight w:val="283"/>
        </w:trPr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9949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Pomax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B6B0D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5</w:t>
            </w:r>
          </w:p>
        </w:tc>
      </w:tr>
      <w:tr w:rsidR="001B08DB" w:rsidRPr="001B2082" w14:paraId="3189C408" w14:textId="77777777" w:rsidTr="009C4406">
        <w:trPr>
          <w:trHeight w:val="283"/>
        </w:trPr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39294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Luna experience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B3052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14</w:t>
            </w:r>
          </w:p>
        </w:tc>
      </w:tr>
      <w:tr w:rsidR="001B08DB" w:rsidRPr="001B2082" w14:paraId="43BEB29F" w14:textId="77777777" w:rsidTr="009C4406">
        <w:trPr>
          <w:trHeight w:val="283"/>
        </w:trPr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245B2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Scab 80 WG, Scab 480 SC, Zato 50 WG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86886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21</w:t>
            </w:r>
          </w:p>
        </w:tc>
      </w:tr>
      <w:tr w:rsidR="001B08DB" w:rsidRPr="001B2082" w14:paraId="279D69A8" w14:textId="77777777" w:rsidTr="009C4406">
        <w:trPr>
          <w:trHeight w:val="283"/>
        </w:trPr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764B8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Captan 80 WG, Merpan 80 WDG, Orthocide 80 WG, Luna care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F89FC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28</w:t>
            </w:r>
          </w:p>
        </w:tc>
      </w:tr>
      <w:tr w:rsidR="001B08DB" w:rsidRPr="001B2082" w14:paraId="0CA0E335" w14:textId="77777777" w:rsidTr="009C4406">
        <w:trPr>
          <w:trHeight w:val="283"/>
        </w:trPr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B1517" w14:textId="77777777" w:rsidR="001B08DB" w:rsidRPr="001B2082" w:rsidRDefault="001B08DB" w:rsidP="009C4406">
            <w:pPr>
              <w:spacing w:before="0"/>
              <w:rPr>
                <w:i/>
                <w:lang w:eastAsia="sl-SI"/>
              </w:rPr>
            </w:pPr>
            <w:r w:rsidRPr="001B2082">
              <w:rPr>
                <w:i/>
                <w:lang w:eastAsia="sl-SI"/>
              </w:rPr>
              <w:t>INSEKTICIDI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0300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</w:p>
        </w:tc>
      </w:tr>
      <w:tr w:rsidR="001B08DB" w:rsidRPr="00322407" w14:paraId="0E6DE2E6" w14:textId="77777777" w:rsidTr="009C4406">
        <w:trPr>
          <w:trHeight w:val="283"/>
        </w:trPr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1151" w14:textId="77777777" w:rsidR="001B08DB" w:rsidRPr="001B2082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Affirm, Affirm opti, Delegate 250 WG, Laser plus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A1896" w14:textId="77777777" w:rsidR="001B08DB" w:rsidRPr="0002761A" w:rsidRDefault="001B08DB" w:rsidP="009C4406">
            <w:pPr>
              <w:spacing w:before="0"/>
              <w:rPr>
                <w:lang w:eastAsia="sl-SI"/>
              </w:rPr>
            </w:pPr>
            <w:r w:rsidRPr="001B2082">
              <w:rPr>
                <w:lang w:eastAsia="sl-SI"/>
              </w:rPr>
              <w:t>7</w:t>
            </w:r>
          </w:p>
        </w:tc>
      </w:tr>
    </w:tbl>
    <w:p w14:paraId="28A65212" w14:textId="77777777" w:rsidR="001B08DB" w:rsidRDefault="001B08DB" w:rsidP="001B08DB">
      <w:pPr>
        <w:pStyle w:val="Heading2"/>
        <w:rPr>
          <w:lang w:val="sl-SI"/>
        </w:rPr>
      </w:pPr>
      <w:r w:rsidRPr="0002761A">
        <w:rPr>
          <w:lang w:val="sl-SI"/>
        </w:rPr>
        <w:t>Toča</w:t>
      </w:r>
    </w:p>
    <w:p w14:paraId="0FA73F14" w14:textId="77777777" w:rsidR="001B08DB" w:rsidRPr="007F3CD7" w:rsidRDefault="001B08DB" w:rsidP="001B08DB">
      <w:pPr>
        <w:spacing w:before="0" w:after="160" w:line="254" w:lineRule="auto"/>
      </w:pPr>
      <w:r w:rsidRPr="00806EA3">
        <w:rPr>
          <w:rFonts w:eastAsia="Calibri" w:cs="Times New Roman"/>
        </w:rPr>
        <w:t xml:space="preserve">V primeru toče opravite škropljenje s pripravki </w:t>
      </w:r>
      <w:r w:rsidRPr="00806EA3">
        <w:rPr>
          <w:rFonts w:eastAsia="Calibri" w:cs="Calibri"/>
        </w:rPr>
        <w:t xml:space="preserve">na osnovi aktive snovi kaptan kot so: </w:t>
      </w:r>
      <w:r w:rsidRPr="00806EA3">
        <w:rPr>
          <w:rFonts w:eastAsia="Calibri" w:cs="Calibri"/>
          <w:b/>
        </w:rPr>
        <w:t>Captan 80 WG</w:t>
      </w:r>
      <w:r w:rsidRPr="00806EA3">
        <w:rPr>
          <w:rFonts w:eastAsia="Calibri" w:cs="Calibri"/>
        </w:rPr>
        <w:t xml:space="preserve">, </w:t>
      </w:r>
      <w:r w:rsidRPr="00806EA3">
        <w:rPr>
          <w:rFonts w:eastAsia="Calibri" w:cs="Calibri"/>
          <w:b/>
        </w:rPr>
        <w:t>Merpan 80 WDG</w:t>
      </w:r>
      <w:r w:rsidRPr="00806EA3">
        <w:rPr>
          <w:rFonts w:eastAsia="Calibri" w:cs="Calibri"/>
        </w:rPr>
        <w:t xml:space="preserve">, </w:t>
      </w:r>
      <w:r w:rsidRPr="00806EA3">
        <w:rPr>
          <w:rFonts w:eastAsia="Calibri" w:cs="Calibri"/>
          <w:b/>
        </w:rPr>
        <w:t>Orthocide 80 WG</w:t>
      </w:r>
      <w:r w:rsidRPr="00806EA3">
        <w:rPr>
          <w:rFonts w:eastAsia="Calibri" w:cs="Calibri"/>
        </w:rPr>
        <w:t xml:space="preserve">, </w:t>
      </w:r>
      <w:r w:rsidRPr="00806EA3">
        <w:rPr>
          <w:rFonts w:eastAsia="Calibri" w:cs="Calibri"/>
          <w:b/>
        </w:rPr>
        <w:t>Scab 80 WG</w:t>
      </w:r>
      <w:r w:rsidRPr="00806EA3">
        <w:rPr>
          <w:rFonts w:eastAsia="Calibri" w:cs="Calibri"/>
        </w:rPr>
        <w:t xml:space="preserve"> ali </w:t>
      </w:r>
      <w:r w:rsidRPr="00806EA3">
        <w:rPr>
          <w:rFonts w:eastAsia="Calibri" w:cs="Calibri"/>
          <w:b/>
        </w:rPr>
        <w:t>Scab 480 SC</w:t>
      </w:r>
      <w:r w:rsidRPr="00806EA3">
        <w:rPr>
          <w:rFonts w:eastAsia="Calibri" w:cs="Calibri"/>
        </w:rPr>
        <w:t>.</w:t>
      </w:r>
      <w:r w:rsidRPr="00D72AEF">
        <w:rPr>
          <w:rFonts w:eastAsia="Calibri" w:cs="Calibri"/>
        </w:rPr>
        <w:t xml:space="preserve"> </w:t>
      </w:r>
    </w:p>
    <w:p w14:paraId="647E385A" w14:textId="77777777" w:rsidR="00D77D1C" w:rsidRDefault="00D77D1C" w:rsidP="00D77D1C">
      <w:pPr>
        <w:rPr>
          <w:rFonts w:eastAsia="Calibri" w:cs="Times New Roman"/>
          <w:lang w:eastAsia="sl-SI"/>
        </w:rPr>
      </w:pPr>
    </w:p>
    <w:sectPr w:rsidR="00D77D1C" w:rsidSect="002E3A39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75F95" w14:textId="77777777" w:rsidR="006F5667" w:rsidRDefault="006F5667" w:rsidP="006A44C7">
      <w:pPr>
        <w:spacing w:before="0" w:after="0"/>
      </w:pPr>
      <w:r>
        <w:separator/>
      </w:r>
    </w:p>
  </w:endnote>
  <w:endnote w:type="continuationSeparator" w:id="0">
    <w:p w14:paraId="0BA994CE" w14:textId="77777777" w:rsidR="006F5667" w:rsidRDefault="006F5667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07B55" w14:textId="7929ACF9" w:rsidR="00887232" w:rsidRPr="00484EC1" w:rsidRDefault="00887232" w:rsidP="00484EC1">
    <w:pPr>
      <w:pStyle w:val="Footer"/>
    </w:pPr>
    <w:r w:rsidRPr="00484EC1">
      <w:t xml:space="preserve">Obvestila </w:t>
    </w:r>
    <w:r w:rsidR="00AE2E6E">
      <w:t>sadjarjem</w:t>
    </w:r>
    <w:r w:rsidRPr="00484EC1">
      <w:t xml:space="preserve">, </w:t>
    </w:r>
    <w:r w:rsidR="0087594F">
      <w:t>3</w:t>
    </w:r>
    <w:r w:rsidR="0078375C">
      <w:t>3</w:t>
    </w:r>
    <w:r w:rsidR="0087594F">
      <w:t xml:space="preserve"> (202</w:t>
    </w:r>
    <w:r w:rsidR="0078375C">
      <w:t>4</w:t>
    </w:r>
    <w:r w:rsidRPr="00484EC1">
      <w:t xml:space="preserve">) </w:t>
    </w:r>
    <w:r w:rsidR="00792CDA">
      <w:t>2</w:t>
    </w:r>
    <w:r w:rsidR="001B08DB">
      <w:t>2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081E09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081E09">
      <w:rPr>
        <w:noProof/>
      </w:rPr>
      <w:t>1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4CF1E" w14:textId="77777777" w:rsidR="006F5667" w:rsidRDefault="006F5667" w:rsidP="006A44C7">
      <w:pPr>
        <w:spacing w:before="0" w:after="0"/>
      </w:pPr>
      <w:r>
        <w:separator/>
      </w:r>
    </w:p>
  </w:footnote>
  <w:footnote w:type="continuationSeparator" w:id="0">
    <w:p w14:paraId="5582F36E" w14:textId="77777777" w:rsidR="006F5667" w:rsidRDefault="006F5667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F485F" w14:textId="77777777" w:rsidR="006A44C7" w:rsidRPr="00C5388D" w:rsidRDefault="006A44C7" w:rsidP="006A44C7">
    <w:pPr>
      <w:pStyle w:val="Heading1"/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587ADB1A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FBC2097"/>
    <w:multiLevelType w:val="hybridMultilevel"/>
    <w:tmpl w:val="60E81B40"/>
    <w:lvl w:ilvl="0" w:tplc="DFD45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601448">
    <w:abstractNumId w:val="2"/>
  </w:num>
  <w:num w:numId="2" w16cid:durableId="759251016">
    <w:abstractNumId w:val="2"/>
  </w:num>
  <w:num w:numId="3" w16cid:durableId="467363929">
    <w:abstractNumId w:val="2"/>
  </w:num>
  <w:num w:numId="4" w16cid:durableId="150029201">
    <w:abstractNumId w:val="2"/>
  </w:num>
  <w:num w:numId="5" w16cid:durableId="1367750656">
    <w:abstractNumId w:val="2"/>
  </w:num>
  <w:num w:numId="6" w16cid:durableId="1099177813">
    <w:abstractNumId w:val="2"/>
  </w:num>
  <w:num w:numId="7" w16cid:durableId="784270023">
    <w:abstractNumId w:val="2"/>
  </w:num>
  <w:num w:numId="8" w16cid:durableId="2006393470">
    <w:abstractNumId w:val="2"/>
  </w:num>
  <w:num w:numId="9" w16cid:durableId="1589001357">
    <w:abstractNumId w:val="0"/>
  </w:num>
  <w:num w:numId="10" w16cid:durableId="438765648">
    <w:abstractNumId w:val="2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75971423">
    <w:abstractNumId w:val="1"/>
  </w:num>
  <w:num w:numId="12" w16cid:durableId="258022694">
    <w:abstractNumId w:val="3"/>
  </w:num>
  <w:num w:numId="13" w16cid:durableId="165421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2DDA"/>
    <w:rsid w:val="000040BE"/>
    <w:rsid w:val="00004EBF"/>
    <w:rsid w:val="00007113"/>
    <w:rsid w:val="000112D0"/>
    <w:rsid w:val="000137B9"/>
    <w:rsid w:val="000137EE"/>
    <w:rsid w:val="00014D9B"/>
    <w:rsid w:val="00014FD2"/>
    <w:rsid w:val="00017EAF"/>
    <w:rsid w:val="00020284"/>
    <w:rsid w:val="0002187E"/>
    <w:rsid w:val="000220B1"/>
    <w:rsid w:val="000247CC"/>
    <w:rsid w:val="00026981"/>
    <w:rsid w:val="00033C77"/>
    <w:rsid w:val="00053B8A"/>
    <w:rsid w:val="00055054"/>
    <w:rsid w:val="00055750"/>
    <w:rsid w:val="00073FAE"/>
    <w:rsid w:val="00075509"/>
    <w:rsid w:val="0007708D"/>
    <w:rsid w:val="00077343"/>
    <w:rsid w:val="00080137"/>
    <w:rsid w:val="00081E09"/>
    <w:rsid w:val="00083E96"/>
    <w:rsid w:val="00095BD9"/>
    <w:rsid w:val="0009707B"/>
    <w:rsid w:val="000A1399"/>
    <w:rsid w:val="000C1419"/>
    <w:rsid w:val="000C333F"/>
    <w:rsid w:val="000C3DF0"/>
    <w:rsid w:val="000D0722"/>
    <w:rsid w:val="000D511A"/>
    <w:rsid w:val="000E1419"/>
    <w:rsid w:val="000E3365"/>
    <w:rsid w:val="000E706A"/>
    <w:rsid w:val="000F368D"/>
    <w:rsid w:val="001026D0"/>
    <w:rsid w:val="00102F7C"/>
    <w:rsid w:val="001279E9"/>
    <w:rsid w:val="00131645"/>
    <w:rsid w:val="00131E83"/>
    <w:rsid w:val="0014118C"/>
    <w:rsid w:val="00142DB9"/>
    <w:rsid w:val="00143DF5"/>
    <w:rsid w:val="0015134B"/>
    <w:rsid w:val="00162FB0"/>
    <w:rsid w:val="00164D5C"/>
    <w:rsid w:val="00180213"/>
    <w:rsid w:val="00187C9C"/>
    <w:rsid w:val="0019025D"/>
    <w:rsid w:val="00191BF7"/>
    <w:rsid w:val="00192E67"/>
    <w:rsid w:val="0019508D"/>
    <w:rsid w:val="00197C2A"/>
    <w:rsid w:val="001A182F"/>
    <w:rsid w:val="001A3163"/>
    <w:rsid w:val="001B08DB"/>
    <w:rsid w:val="001B17B0"/>
    <w:rsid w:val="001B50AE"/>
    <w:rsid w:val="001B55F9"/>
    <w:rsid w:val="001B6FD8"/>
    <w:rsid w:val="001B7D7E"/>
    <w:rsid w:val="001C0167"/>
    <w:rsid w:val="001C7601"/>
    <w:rsid w:val="001D46A1"/>
    <w:rsid w:val="001E079F"/>
    <w:rsid w:val="001E4167"/>
    <w:rsid w:val="001E7570"/>
    <w:rsid w:val="00201D04"/>
    <w:rsid w:val="00211F04"/>
    <w:rsid w:val="0021654A"/>
    <w:rsid w:val="002249FE"/>
    <w:rsid w:val="002301D7"/>
    <w:rsid w:val="00232070"/>
    <w:rsid w:val="0023351A"/>
    <w:rsid w:val="002352EA"/>
    <w:rsid w:val="00237977"/>
    <w:rsid w:val="00243B0A"/>
    <w:rsid w:val="002535F8"/>
    <w:rsid w:val="00265EE1"/>
    <w:rsid w:val="0027233E"/>
    <w:rsid w:val="00285E57"/>
    <w:rsid w:val="00286DBF"/>
    <w:rsid w:val="002952C2"/>
    <w:rsid w:val="0029558F"/>
    <w:rsid w:val="0029651D"/>
    <w:rsid w:val="002A32B8"/>
    <w:rsid w:val="002A6869"/>
    <w:rsid w:val="002A7E48"/>
    <w:rsid w:val="002B1BF8"/>
    <w:rsid w:val="002B432C"/>
    <w:rsid w:val="002B53E9"/>
    <w:rsid w:val="002C0588"/>
    <w:rsid w:val="002C100E"/>
    <w:rsid w:val="002C195E"/>
    <w:rsid w:val="002C70A2"/>
    <w:rsid w:val="002D7634"/>
    <w:rsid w:val="002E2E30"/>
    <w:rsid w:val="002E3A39"/>
    <w:rsid w:val="002E5A49"/>
    <w:rsid w:val="002F2470"/>
    <w:rsid w:val="002F78AE"/>
    <w:rsid w:val="003268B0"/>
    <w:rsid w:val="00332178"/>
    <w:rsid w:val="003325C1"/>
    <w:rsid w:val="003368EA"/>
    <w:rsid w:val="00337999"/>
    <w:rsid w:val="003400D8"/>
    <w:rsid w:val="0034230F"/>
    <w:rsid w:val="00342F4F"/>
    <w:rsid w:val="003450CC"/>
    <w:rsid w:val="00346378"/>
    <w:rsid w:val="00347392"/>
    <w:rsid w:val="0035338D"/>
    <w:rsid w:val="00353A6F"/>
    <w:rsid w:val="00356C0F"/>
    <w:rsid w:val="00360C31"/>
    <w:rsid w:val="00362078"/>
    <w:rsid w:val="00375A3B"/>
    <w:rsid w:val="00385F0A"/>
    <w:rsid w:val="00387CCC"/>
    <w:rsid w:val="00390249"/>
    <w:rsid w:val="003966EF"/>
    <w:rsid w:val="003A3E83"/>
    <w:rsid w:val="003D1CFD"/>
    <w:rsid w:val="003D26B6"/>
    <w:rsid w:val="003D4AC5"/>
    <w:rsid w:val="003E1635"/>
    <w:rsid w:val="003E18F0"/>
    <w:rsid w:val="003E7378"/>
    <w:rsid w:val="003F0E06"/>
    <w:rsid w:val="003F1717"/>
    <w:rsid w:val="003F1AD4"/>
    <w:rsid w:val="003F3413"/>
    <w:rsid w:val="003F7B15"/>
    <w:rsid w:val="0041413B"/>
    <w:rsid w:val="004229BE"/>
    <w:rsid w:val="00422CD7"/>
    <w:rsid w:val="00425925"/>
    <w:rsid w:val="004346C6"/>
    <w:rsid w:val="004355FE"/>
    <w:rsid w:val="0044627A"/>
    <w:rsid w:val="00452876"/>
    <w:rsid w:val="00454DEF"/>
    <w:rsid w:val="00461A11"/>
    <w:rsid w:val="00461F0A"/>
    <w:rsid w:val="00464BA4"/>
    <w:rsid w:val="00470463"/>
    <w:rsid w:val="004776B3"/>
    <w:rsid w:val="00483893"/>
    <w:rsid w:val="00484EC1"/>
    <w:rsid w:val="004851EB"/>
    <w:rsid w:val="00487D03"/>
    <w:rsid w:val="00493207"/>
    <w:rsid w:val="00494A4B"/>
    <w:rsid w:val="004B59D8"/>
    <w:rsid w:val="004C2BDA"/>
    <w:rsid w:val="004D42C8"/>
    <w:rsid w:val="004D4DF3"/>
    <w:rsid w:val="004D51F6"/>
    <w:rsid w:val="004E3B0D"/>
    <w:rsid w:val="004E44A8"/>
    <w:rsid w:val="004F4B8E"/>
    <w:rsid w:val="004F7D89"/>
    <w:rsid w:val="0050334F"/>
    <w:rsid w:val="00513D3C"/>
    <w:rsid w:val="00522753"/>
    <w:rsid w:val="00526B45"/>
    <w:rsid w:val="00532E38"/>
    <w:rsid w:val="005363D9"/>
    <w:rsid w:val="0054739D"/>
    <w:rsid w:val="00557430"/>
    <w:rsid w:val="00567597"/>
    <w:rsid w:val="00575920"/>
    <w:rsid w:val="00577AE2"/>
    <w:rsid w:val="0058154F"/>
    <w:rsid w:val="00585788"/>
    <w:rsid w:val="0059404B"/>
    <w:rsid w:val="005A3DB3"/>
    <w:rsid w:val="005A4D03"/>
    <w:rsid w:val="005A511A"/>
    <w:rsid w:val="005B45D8"/>
    <w:rsid w:val="005C0B81"/>
    <w:rsid w:val="005C3957"/>
    <w:rsid w:val="005D511E"/>
    <w:rsid w:val="005D6AFB"/>
    <w:rsid w:val="005E30C3"/>
    <w:rsid w:val="005E3DC9"/>
    <w:rsid w:val="005E5158"/>
    <w:rsid w:val="005E5825"/>
    <w:rsid w:val="005F1D35"/>
    <w:rsid w:val="00610293"/>
    <w:rsid w:val="00613C1B"/>
    <w:rsid w:val="00616AAC"/>
    <w:rsid w:val="00616EAC"/>
    <w:rsid w:val="00626A8E"/>
    <w:rsid w:val="00631C75"/>
    <w:rsid w:val="00632DF8"/>
    <w:rsid w:val="006448FB"/>
    <w:rsid w:val="0065138B"/>
    <w:rsid w:val="00654CA7"/>
    <w:rsid w:val="00655313"/>
    <w:rsid w:val="006638E3"/>
    <w:rsid w:val="00673B50"/>
    <w:rsid w:val="00683A39"/>
    <w:rsid w:val="00683D91"/>
    <w:rsid w:val="006868C3"/>
    <w:rsid w:val="00691065"/>
    <w:rsid w:val="00694E2E"/>
    <w:rsid w:val="006A03F5"/>
    <w:rsid w:val="006A30C1"/>
    <w:rsid w:val="006A44C7"/>
    <w:rsid w:val="006B7237"/>
    <w:rsid w:val="006C2C40"/>
    <w:rsid w:val="006C4BAC"/>
    <w:rsid w:val="006C693A"/>
    <w:rsid w:val="006D7911"/>
    <w:rsid w:val="006E019A"/>
    <w:rsid w:val="006E201F"/>
    <w:rsid w:val="006F19D9"/>
    <w:rsid w:val="006F34B2"/>
    <w:rsid w:val="006F5667"/>
    <w:rsid w:val="006F69D2"/>
    <w:rsid w:val="006F74E7"/>
    <w:rsid w:val="00700698"/>
    <w:rsid w:val="0070094C"/>
    <w:rsid w:val="007009A7"/>
    <w:rsid w:val="007046C4"/>
    <w:rsid w:val="00715A69"/>
    <w:rsid w:val="007266B3"/>
    <w:rsid w:val="00731296"/>
    <w:rsid w:val="007349B2"/>
    <w:rsid w:val="00743AED"/>
    <w:rsid w:val="00743F78"/>
    <w:rsid w:val="007472F0"/>
    <w:rsid w:val="00754914"/>
    <w:rsid w:val="00757521"/>
    <w:rsid w:val="00760A08"/>
    <w:rsid w:val="007638ED"/>
    <w:rsid w:val="007670FB"/>
    <w:rsid w:val="0077388F"/>
    <w:rsid w:val="00775D97"/>
    <w:rsid w:val="0078375C"/>
    <w:rsid w:val="0078571A"/>
    <w:rsid w:val="00792CDA"/>
    <w:rsid w:val="0079591B"/>
    <w:rsid w:val="007A4E70"/>
    <w:rsid w:val="007A7799"/>
    <w:rsid w:val="007B005E"/>
    <w:rsid w:val="007B0212"/>
    <w:rsid w:val="007B14FC"/>
    <w:rsid w:val="007B3CEE"/>
    <w:rsid w:val="007D563F"/>
    <w:rsid w:val="007D6505"/>
    <w:rsid w:val="007E2078"/>
    <w:rsid w:val="007E5AA3"/>
    <w:rsid w:val="007F0035"/>
    <w:rsid w:val="008016C5"/>
    <w:rsid w:val="0080711F"/>
    <w:rsid w:val="00812C42"/>
    <w:rsid w:val="00813EC2"/>
    <w:rsid w:val="008233D3"/>
    <w:rsid w:val="00824BA5"/>
    <w:rsid w:val="00826599"/>
    <w:rsid w:val="008359A3"/>
    <w:rsid w:val="008376CF"/>
    <w:rsid w:val="0084448C"/>
    <w:rsid w:val="008471ED"/>
    <w:rsid w:val="0084720E"/>
    <w:rsid w:val="00847436"/>
    <w:rsid w:val="00847A5A"/>
    <w:rsid w:val="0085190C"/>
    <w:rsid w:val="008521FF"/>
    <w:rsid w:val="00857429"/>
    <w:rsid w:val="00860A9D"/>
    <w:rsid w:val="0086160D"/>
    <w:rsid w:val="00861F2D"/>
    <w:rsid w:val="00871844"/>
    <w:rsid w:val="00871E42"/>
    <w:rsid w:val="008753CB"/>
    <w:rsid w:val="008756F2"/>
    <w:rsid w:val="0087594F"/>
    <w:rsid w:val="008773B8"/>
    <w:rsid w:val="00883839"/>
    <w:rsid w:val="00887232"/>
    <w:rsid w:val="00891E80"/>
    <w:rsid w:val="0089348A"/>
    <w:rsid w:val="00896700"/>
    <w:rsid w:val="008A134B"/>
    <w:rsid w:val="008A321E"/>
    <w:rsid w:val="008A3790"/>
    <w:rsid w:val="008A67B8"/>
    <w:rsid w:val="008B00DA"/>
    <w:rsid w:val="008C09C0"/>
    <w:rsid w:val="008C2BA8"/>
    <w:rsid w:val="008C3C1E"/>
    <w:rsid w:val="008D04AA"/>
    <w:rsid w:val="008D08FB"/>
    <w:rsid w:val="008D3426"/>
    <w:rsid w:val="008D34AD"/>
    <w:rsid w:val="008D4F0D"/>
    <w:rsid w:val="008E61B4"/>
    <w:rsid w:val="008F6C2B"/>
    <w:rsid w:val="0090232F"/>
    <w:rsid w:val="00902A92"/>
    <w:rsid w:val="0090487B"/>
    <w:rsid w:val="0091139C"/>
    <w:rsid w:val="00915E12"/>
    <w:rsid w:val="00931729"/>
    <w:rsid w:val="00933DE3"/>
    <w:rsid w:val="00943AF7"/>
    <w:rsid w:val="009451D5"/>
    <w:rsid w:val="009475C9"/>
    <w:rsid w:val="009547B5"/>
    <w:rsid w:val="00954E9C"/>
    <w:rsid w:val="00957F63"/>
    <w:rsid w:val="0096517F"/>
    <w:rsid w:val="00967FE0"/>
    <w:rsid w:val="0097283A"/>
    <w:rsid w:val="009739FC"/>
    <w:rsid w:val="00974295"/>
    <w:rsid w:val="00976EB1"/>
    <w:rsid w:val="009816EA"/>
    <w:rsid w:val="0098171D"/>
    <w:rsid w:val="00987EB1"/>
    <w:rsid w:val="0099163A"/>
    <w:rsid w:val="009A237C"/>
    <w:rsid w:val="009A3B53"/>
    <w:rsid w:val="009A4554"/>
    <w:rsid w:val="009A48CE"/>
    <w:rsid w:val="009B5E3B"/>
    <w:rsid w:val="009C057F"/>
    <w:rsid w:val="009C4F62"/>
    <w:rsid w:val="009C5B17"/>
    <w:rsid w:val="009C660F"/>
    <w:rsid w:val="009C73CE"/>
    <w:rsid w:val="009D00A9"/>
    <w:rsid w:val="009D3C1B"/>
    <w:rsid w:val="009E2552"/>
    <w:rsid w:val="009F05C7"/>
    <w:rsid w:val="00A015BC"/>
    <w:rsid w:val="00A01731"/>
    <w:rsid w:val="00A060C3"/>
    <w:rsid w:val="00A07426"/>
    <w:rsid w:val="00A12795"/>
    <w:rsid w:val="00A13389"/>
    <w:rsid w:val="00A13A30"/>
    <w:rsid w:val="00A144FF"/>
    <w:rsid w:val="00A51364"/>
    <w:rsid w:val="00A519F9"/>
    <w:rsid w:val="00A53578"/>
    <w:rsid w:val="00A538B0"/>
    <w:rsid w:val="00A5501A"/>
    <w:rsid w:val="00A55F13"/>
    <w:rsid w:val="00A6206C"/>
    <w:rsid w:val="00A62C89"/>
    <w:rsid w:val="00A642E5"/>
    <w:rsid w:val="00A669A0"/>
    <w:rsid w:val="00A75F44"/>
    <w:rsid w:val="00A80269"/>
    <w:rsid w:val="00A80991"/>
    <w:rsid w:val="00A84514"/>
    <w:rsid w:val="00A84CDD"/>
    <w:rsid w:val="00A852B8"/>
    <w:rsid w:val="00A93E3C"/>
    <w:rsid w:val="00A9553E"/>
    <w:rsid w:val="00AA125E"/>
    <w:rsid w:val="00AA23F3"/>
    <w:rsid w:val="00AA2CB9"/>
    <w:rsid w:val="00AA6025"/>
    <w:rsid w:val="00AA6853"/>
    <w:rsid w:val="00AA6D8C"/>
    <w:rsid w:val="00AB2F44"/>
    <w:rsid w:val="00AB4BFA"/>
    <w:rsid w:val="00AB4E64"/>
    <w:rsid w:val="00AB5062"/>
    <w:rsid w:val="00AE2E6E"/>
    <w:rsid w:val="00AE31C2"/>
    <w:rsid w:val="00AF0F81"/>
    <w:rsid w:val="00AF306B"/>
    <w:rsid w:val="00AF6D3B"/>
    <w:rsid w:val="00B02B8D"/>
    <w:rsid w:val="00B103F6"/>
    <w:rsid w:val="00B12B21"/>
    <w:rsid w:val="00B12DBF"/>
    <w:rsid w:val="00B15E27"/>
    <w:rsid w:val="00B21CE6"/>
    <w:rsid w:val="00B243A8"/>
    <w:rsid w:val="00B27459"/>
    <w:rsid w:val="00B344B6"/>
    <w:rsid w:val="00B363C4"/>
    <w:rsid w:val="00B42E98"/>
    <w:rsid w:val="00B45A35"/>
    <w:rsid w:val="00B47E34"/>
    <w:rsid w:val="00B60322"/>
    <w:rsid w:val="00B62ABE"/>
    <w:rsid w:val="00B65E0E"/>
    <w:rsid w:val="00B660E8"/>
    <w:rsid w:val="00B6689F"/>
    <w:rsid w:val="00B72644"/>
    <w:rsid w:val="00B873A5"/>
    <w:rsid w:val="00B95A29"/>
    <w:rsid w:val="00BA1242"/>
    <w:rsid w:val="00BA5221"/>
    <w:rsid w:val="00BA6AF8"/>
    <w:rsid w:val="00BB64B1"/>
    <w:rsid w:val="00BB7CEA"/>
    <w:rsid w:val="00BC17C6"/>
    <w:rsid w:val="00BC218C"/>
    <w:rsid w:val="00BC3460"/>
    <w:rsid w:val="00BC620A"/>
    <w:rsid w:val="00BD19D7"/>
    <w:rsid w:val="00BD7D66"/>
    <w:rsid w:val="00BF016F"/>
    <w:rsid w:val="00BF371B"/>
    <w:rsid w:val="00BF3A9D"/>
    <w:rsid w:val="00BF698D"/>
    <w:rsid w:val="00C01C6F"/>
    <w:rsid w:val="00C12472"/>
    <w:rsid w:val="00C14A72"/>
    <w:rsid w:val="00C14E42"/>
    <w:rsid w:val="00C17FA4"/>
    <w:rsid w:val="00C22088"/>
    <w:rsid w:val="00C32EDD"/>
    <w:rsid w:val="00C423C4"/>
    <w:rsid w:val="00C44485"/>
    <w:rsid w:val="00C45D94"/>
    <w:rsid w:val="00C5180A"/>
    <w:rsid w:val="00C52622"/>
    <w:rsid w:val="00C5388D"/>
    <w:rsid w:val="00C53FEA"/>
    <w:rsid w:val="00C57252"/>
    <w:rsid w:val="00C60406"/>
    <w:rsid w:val="00C64CB8"/>
    <w:rsid w:val="00C6722F"/>
    <w:rsid w:val="00C74063"/>
    <w:rsid w:val="00C8662E"/>
    <w:rsid w:val="00C93014"/>
    <w:rsid w:val="00C95E3D"/>
    <w:rsid w:val="00C95F8D"/>
    <w:rsid w:val="00C9748F"/>
    <w:rsid w:val="00CA3556"/>
    <w:rsid w:val="00CB716C"/>
    <w:rsid w:val="00CC2131"/>
    <w:rsid w:val="00CC4B85"/>
    <w:rsid w:val="00CC7951"/>
    <w:rsid w:val="00CD252C"/>
    <w:rsid w:val="00CD2F28"/>
    <w:rsid w:val="00CF1048"/>
    <w:rsid w:val="00CF224D"/>
    <w:rsid w:val="00CF2E75"/>
    <w:rsid w:val="00CF6874"/>
    <w:rsid w:val="00D14170"/>
    <w:rsid w:val="00D2017F"/>
    <w:rsid w:val="00D20AFF"/>
    <w:rsid w:val="00D21D5A"/>
    <w:rsid w:val="00D21FEC"/>
    <w:rsid w:val="00D4079A"/>
    <w:rsid w:val="00D42BCE"/>
    <w:rsid w:val="00D50BDC"/>
    <w:rsid w:val="00D5603A"/>
    <w:rsid w:val="00D56D8F"/>
    <w:rsid w:val="00D6020A"/>
    <w:rsid w:val="00D60CB7"/>
    <w:rsid w:val="00D60D45"/>
    <w:rsid w:val="00D62132"/>
    <w:rsid w:val="00D654B6"/>
    <w:rsid w:val="00D67AAE"/>
    <w:rsid w:val="00D71131"/>
    <w:rsid w:val="00D713FC"/>
    <w:rsid w:val="00D76EC7"/>
    <w:rsid w:val="00D77D1C"/>
    <w:rsid w:val="00D8275B"/>
    <w:rsid w:val="00D847BE"/>
    <w:rsid w:val="00D9523F"/>
    <w:rsid w:val="00D97CB7"/>
    <w:rsid w:val="00DA0E0B"/>
    <w:rsid w:val="00DA356B"/>
    <w:rsid w:val="00DA4F69"/>
    <w:rsid w:val="00DA6FD5"/>
    <w:rsid w:val="00DA7224"/>
    <w:rsid w:val="00DA7979"/>
    <w:rsid w:val="00DB03AB"/>
    <w:rsid w:val="00DB0D15"/>
    <w:rsid w:val="00DB2DBC"/>
    <w:rsid w:val="00DB2EC0"/>
    <w:rsid w:val="00DB3BBD"/>
    <w:rsid w:val="00DB6E73"/>
    <w:rsid w:val="00DB7BD0"/>
    <w:rsid w:val="00DD0A5C"/>
    <w:rsid w:val="00DD2990"/>
    <w:rsid w:val="00DD31C8"/>
    <w:rsid w:val="00DE0837"/>
    <w:rsid w:val="00DE0E7F"/>
    <w:rsid w:val="00DE1A07"/>
    <w:rsid w:val="00DE3C33"/>
    <w:rsid w:val="00DE4761"/>
    <w:rsid w:val="00DF37D1"/>
    <w:rsid w:val="00DF43DA"/>
    <w:rsid w:val="00DF7267"/>
    <w:rsid w:val="00E028FC"/>
    <w:rsid w:val="00E041FF"/>
    <w:rsid w:val="00E1082E"/>
    <w:rsid w:val="00E117F3"/>
    <w:rsid w:val="00E136DF"/>
    <w:rsid w:val="00E17B64"/>
    <w:rsid w:val="00E21EEF"/>
    <w:rsid w:val="00E24D1A"/>
    <w:rsid w:val="00E2580A"/>
    <w:rsid w:val="00E27FC6"/>
    <w:rsid w:val="00E34CAD"/>
    <w:rsid w:val="00E35777"/>
    <w:rsid w:val="00E35BA1"/>
    <w:rsid w:val="00E35D7A"/>
    <w:rsid w:val="00E4294B"/>
    <w:rsid w:val="00E4581D"/>
    <w:rsid w:val="00E627A7"/>
    <w:rsid w:val="00E6514D"/>
    <w:rsid w:val="00E715F6"/>
    <w:rsid w:val="00E71A67"/>
    <w:rsid w:val="00E748AE"/>
    <w:rsid w:val="00E845DF"/>
    <w:rsid w:val="00E91458"/>
    <w:rsid w:val="00E92624"/>
    <w:rsid w:val="00EA2F20"/>
    <w:rsid w:val="00EA3544"/>
    <w:rsid w:val="00EB041A"/>
    <w:rsid w:val="00EB34A3"/>
    <w:rsid w:val="00EB565F"/>
    <w:rsid w:val="00EB7C85"/>
    <w:rsid w:val="00EC1220"/>
    <w:rsid w:val="00EC5198"/>
    <w:rsid w:val="00ED2BCA"/>
    <w:rsid w:val="00EE4462"/>
    <w:rsid w:val="00EF0BD1"/>
    <w:rsid w:val="00EF5E10"/>
    <w:rsid w:val="00F0043F"/>
    <w:rsid w:val="00F01E9D"/>
    <w:rsid w:val="00F02636"/>
    <w:rsid w:val="00F06183"/>
    <w:rsid w:val="00F12A3C"/>
    <w:rsid w:val="00F235B7"/>
    <w:rsid w:val="00F31DE5"/>
    <w:rsid w:val="00F4114D"/>
    <w:rsid w:val="00F4411F"/>
    <w:rsid w:val="00F4671D"/>
    <w:rsid w:val="00F46F70"/>
    <w:rsid w:val="00F47926"/>
    <w:rsid w:val="00F53FD4"/>
    <w:rsid w:val="00F54D09"/>
    <w:rsid w:val="00F553FD"/>
    <w:rsid w:val="00F557D5"/>
    <w:rsid w:val="00F559D9"/>
    <w:rsid w:val="00F77282"/>
    <w:rsid w:val="00F80C80"/>
    <w:rsid w:val="00F84612"/>
    <w:rsid w:val="00F95D88"/>
    <w:rsid w:val="00FA6B45"/>
    <w:rsid w:val="00FA79F5"/>
    <w:rsid w:val="00FB0CD8"/>
    <w:rsid w:val="00FB2BD7"/>
    <w:rsid w:val="00FB7897"/>
    <w:rsid w:val="00FC1FA6"/>
    <w:rsid w:val="00FC3169"/>
    <w:rsid w:val="00FC5D26"/>
    <w:rsid w:val="00FD7B4A"/>
    <w:rsid w:val="00FE1C01"/>
    <w:rsid w:val="00FF08D9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39DBD9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  <w:lang w:val="sl-S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5D511E"/>
    <w:pPr>
      <w:keepNext/>
      <w:keepLines/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DF37D1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7B005E"/>
    <w:pPr>
      <w:keepNext/>
      <w:keepLines/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5D511E"/>
    <w:pPr>
      <w:keepNext/>
      <w:keepLines/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5D511E"/>
    <w:pPr>
      <w:keepNext/>
      <w:keepLines/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5D511E"/>
    <w:pPr>
      <w:keepNext/>
      <w:keepLines/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5D511E"/>
    <w:pPr>
      <w:keepNext/>
      <w:keepLines/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5D511E"/>
    <w:pPr>
      <w:keepNext/>
      <w:keepLines/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DA7224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DA7224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45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TableNormal"/>
    <w:next w:val="TableGrid"/>
    <w:rsid w:val="001E07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TableNormal"/>
    <w:next w:val="TableGrid"/>
    <w:rsid w:val="00AA60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TableNormal"/>
    <w:next w:val="TableGrid"/>
    <w:rsid w:val="00454D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VESTILOOKVIR">
    <w:name w:val="OBVESTILO OKVIR"/>
    <w:basedOn w:val="Normal"/>
    <w:qFormat/>
    <w:rsid w:val="00B95A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Theme="minorHAnsi" w:hAnsiTheme="minorHAnsi" w:cstheme="minorHAnsi"/>
      <w:lang w:bidi="bn-BD"/>
    </w:rPr>
  </w:style>
  <w:style w:type="paragraph" w:styleId="NoSpacing">
    <w:name w:val="No Spacing"/>
    <w:uiPriority w:val="1"/>
    <w:qFormat/>
    <w:rsid w:val="007B005E"/>
    <w:pPr>
      <w:spacing w:after="0" w:line="240" w:lineRule="auto"/>
    </w:pPr>
    <w:rPr>
      <w:rFonts w:ascii="Calibri" w:hAnsi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9ACB-6D26-4D65-95F9-5108EEF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</dc:title>
  <dc:subject/>
  <dc:creator>Jolanda Persolja</dc:creator>
  <cp:keywords/>
  <dc:description/>
  <cp:lastModifiedBy>Jolanda Persolja</cp:lastModifiedBy>
  <cp:revision>435</cp:revision>
  <cp:lastPrinted>2024-08-14T13:16:00Z</cp:lastPrinted>
  <dcterms:created xsi:type="dcterms:W3CDTF">2021-06-07T12:12:00Z</dcterms:created>
  <dcterms:modified xsi:type="dcterms:W3CDTF">2024-08-19T06:29:00Z</dcterms:modified>
</cp:coreProperties>
</file>